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D512" w14:textId="2A18FEDB" w:rsidR="00461006" w:rsidRPr="004D58BA" w:rsidRDefault="004D58BA" w:rsidP="004D58BA">
      <w:pPr>
        <w:jc w:val="center"/>
        <w:rPr>
          <w:b/>
          <w:bCs/>
        </w:rPr>
      </w:pPr>
      <w:r w:rsidRPr="004D58BA">
        <w:rPr>
          <w:b/>
          <w:bCs/>
        </w:rPr>
        <w:t>Explain how representations of stereotypes within media products reflect their social and historical contexts.</w:t>
      </w:r>
      <w:r>
        <w:rPr>
          <w:b/>
          <w:bCs/>
        </w:rPr>
        <w:t xml:space="preserve"> </w:t>
      </w:r>
      <w:r w:rsidRPr="004D58BA">
        <w:rPr>
          <w:b/>
          <w:bCs/>
        </w:rPr>
        <w:t xml:space="preserve">You should refer to the Close Study Product Score and Figure 1 </w:t>
      </w:r>
      <w:r>
        <w:rPr>
          <w:b/>
          <w:bCs/>
        </w:rPr>
        <w:t xml:space="preserve">(WOW poster) </w:t>
      </w:r>
      <w:r w:rsidRPr="004D58BA">
        <w:rPr>
          <w:b/>
          <w:bCs/>
        </w:rPr>
        <w:t>to support your answer.</w:t>
      </w:r>
    </w:p>
    <w:tbl>
      <w:tblPr>
        <w:tblStyle w:val="TableGrid"/>
        <w:tblW w:w="0" w:type="auto"/>
        <w:shd w:val="pct20" w:color="auto" w:fill="auto"/>
        <w:tblLook w:val="04A0" w:firstRow="1" w:lastRow="0" w:firstColumn="1" w:lastColumn="0" w:noHBand="0" w:noVBand="1"/>
      </w:tblPr>
      <w:tblGrid>
        <w:gridCol w:w="678"/>
        <w:gridCol w:w="770"/>
        <w:gridCol w:w="1557"/>
        <w:gridCol w:w="5497"/>
        <w:gridCol w:w="514"/>
      </w:tblGrid>
      <w:tr w:rsidR="00461006" w14:paraId="7502B324" w14:textId="77777777" w:rsidTr="004D58BA">
        <w:trPr>
          <w:trHeight w:val="780"/>
        </w:trPr>
        <w:tc>
          <w:tcPr>
            <w:tcW w:w="9016" w:type="dxa"/>
            <w:gridSpan w:val="5"/>
            <w:tcBorders>
              <w:bottom w:val="single" w:sz="4" w:space="0" w:color="auto"/>
            </w:tcBorders>
            <w:shd w:val="pct20" w:color="auto" w:fill="auto"/>
          </w:tcPr>
          <w:p w14:paraId="3B19F70C" w14:textId="77777777" w:rsidR="00461006" w:rsidRDefault="00461006" w:rsidP="00461006">
            <w:pPr>
              <w:pStyle w:val="Default"/>
              <w:jc w:val="center"/>
              <w:rPr>
                <w:b/>
                <w:bCs/>
                <w:sz w:val="32"/>
                <w:szCs w:val="32"/>
              </w:rPr>
            </w:pPr>
            <w:r>
              <w:rPr>
                <w:b/>
                <w:bCs/>
                <w:sz w:val="32"/>
                <w:szCs w:val="32"/>
              </w:rPr>
              <w:t>M</w:t>
            </w:r>
            <w:r w:rsidRPr="003C6A8C">
              <w:rPr>
                <w:b/>
                <w:bCs/>
                <w:sz w:val="32"/>
                <w:szCs w:val="32"/>
              </w:rPr>
              <w:t xml:space="preserve">edia </w:t>
            </w:r>
            <w:r>
              <w:rPr>
                <w:b/>
                <w:bCs/>
                <w:sz w:val="32"/>
                <w:szCs w:val="32"/>
              </w:rPr>
              <w:t>Studies</w:t>
            </w:r>
          </w:p>
          <w:p w14:paraId="6E274EB0" w14:textId="77777777" w:rsidR="00461006" w:rsidRDefault="00461006" w:rsidP="00461006">
            <w:pPr>
              <w:jc w:val="center"/>
            </w:pPr>
            <w:r>
              <w:rPr>
                <w:b/>
                <w:bCs/>
                <w:sz w:val="32"/>
                <w:szCs w:val="32"/>
              </w:rPr>
              <w:t>Assessment Feedback Sheet</w:t>
            </w:r>
          </w:p>
        </w:tc>
      </w:tr>
      <w:tr w:rsidR="00461006" w14:paraId="778FABF3" w14:textId="77777777" w:rsidTr="004D58BA">
        <w:trPr>
          <w:trHeight w:val="281"/>
        </w:trPr>
        <w:tc>
          <w:tcPr>
            <w:tcW w:w="3005" w:type="dxa"/>
            <w:gridSpan w:val="3"/>
            <w:shd w:val="clear" w:color="auto" w:fill="FFFFFF" w:themeFill="background1"/>
          </w:tcPr>
          <w:p w14:paraId="039F5A00" w14:textId="77777777" w:rsidR="00461006" w:rsidRPr="00461006" w:rsidRDefault="00461006" w:rsidP="004C5AD2">
            <w:pPr>
              <w:rPr>
                <w:sz w:val="24"/>
              </w:rPr>
            </w:pPr>
            <w:r w:rsidRPr="00461006">
              <w:rPr>
                <w:sz w:val="24"/>
              </w:rPr>
              <w:t>Student Name</w:t>
            </w:r>
          </w:p>
        </w:tc>
        <w:tc>
          <w:tcPr>
            <w:tcW w:w="6011" w:type="dxa"/>
            <w:gridSpan w:val="2"/>
            <w:shd w:val="clear" w:color="auto" w:fill="FFFFFF" w:themeFill="background1"/>
          </w:tcPr>
          <w:p w14:paraId="134C7776" w14:textId="7E243B81" w:rsidR="00461006" w:rsidRPr="00461006" w:rsidRDefault="00461006" w:rsidP="004C5AD2">
            <w:pPr>
              <w:rPr>
                <w:sz w:val="24"/>
              </w:rPr>
            </w:pPr>
          </w:p>
        </w:tc>
      </w:tr>
      <w:tr w:rsidR="00461006" w14:paraId="319405BB" w14:textId="77777777" w:rsidTr="004D58BA">
        <w:trPr>
          <w:trHeight w:val="265"/>
        </w:trPr>
        <w:tc>
          <w:tcPr>
            <w:tcW w:w="3005" w:type="dxa"/>
            <w:gridSpan w:val="3"/>
            <w:shd w:val="clear" w:color="auto" w:fill="FFFFFF" w:themeFill="background1"/>
          </w:tcPr>
          <w:p w14:paraId="5DC4916C" w14:textId="77777777" w:rsidR="00461006" w:rsidRPr="00461006" w:rsidRDefault="00461006" w:rsidP="004C5AD2">
            <w:pPr>
              <w:rPr>
                <w:sz w:val="24"/>
              </w:rPr>
            </w:pPr>
            <w:r w:rsidRPr="00461006">
              <w:rPr>
                <w:sz w:val="24"/>
              </w:rPr>
              <w:t>Assessment</w:t>
            </w:r>
          </w:p>
        </w:tc>
        <w:tc>
          <w:tcPr>
            <w:tcW w:w="6011" w:type="dxa"/>
            <w:gridSpan w:val="2"/>
            <w:shd w:val="clear" w:color="auto" w:fill="FFFFFF" w:themeFill="background1"/>
          </w:tcPr>
          <w:p w14:paraId="590BB7B8" w14:textId="16090068" w:rsidR="00461006" w:rsidRPr="00461006" w:rsidRDefault="00D300E1" w:rsidP="004C5AD2">
            <w:pPr>
              <w:rPr>
                <w:sz w:val="24"/>
              </w:rPr>
            </w:pPr>
            <w:r>
              <w:rPr>
                <w:sz w:val="24"/>
              </w:rPr>
              <w:t xml:space="preserve">A2 </w:t>
            </w:r>
            <w:r w:rsidR="00DC6461">
              <w:rPr>
                <w:sz w:val="24"/>
              </w:rPr>
              <w:t>Changing Representations (Social / Historical Contexts</w:t>
            </w:r>
            <w:r w:rsidR="00243D57">
              <w:rPr>
                <w:sz w:val="24"/>
              </w:rPr>
              <w:t>)</w:t>
            </w:r>
          </w:p>
        </w:tc>
      </w:tr>
      <w:tr w:rsidR="00461006" w14:paraId="2ED81B54" w14:textId="77777777" w:rsidTr="004D58BA">
        <w:trPr>
          <w:trHeight w:val="281"/>
        </w:trPr>
        <w:tc>
          <w:tcPr>
            <w:tcW w:w="3005" w:type="dxa"/>
            <w:gridSpan w:val="3"/>
            <w:shd w:val="clear" w:color="auto" w:fill="FFFFFF" w:themeFill="background1"/>
          </w:tcPr>
          <w:p w14:paraId="16ACA264" w14:textId="77777777" w:rsidR="00461006" w:rsidRPr="00461006" w:rsidRDefault="00461006" w:rsidP="004C5AD2">
            <w:pPr>
              <w:rPr>
                <w:sz w:val="24"/>
              </w:rPr>
            </w:pPr>
            <w:r w:rsidRPr="00461006">
              <w:rPr>
                <w:sz w:val="24"/>
              </w:rPr>
              <w:t>Date</w:t>
            </w:r>
          </w:p>
        </w:tc>
        <w:tc>
          <w:tcPr>
            <w:tcW w:w="6011" w:type="dxa"/>
            <w:gridSpan w:val="2"/>
            <w:shd w:val="clear" w:color="auto" w:fill="FFFFFF" w:themeFill="background1"/>
          </w:tcPr>
          <w:p w14:paraId="77DE866E" w14:textId="73FBF52B" w:rsidR="00461006" w:rsidRPr="00461006" w:rsidRDefault="00DF77C0" w:rsidP="004C5AD2">
            <w:pPr>
              <w:rPr>
                <w:sz w:val="24"/>
              </w:rPr>
            </w:pPr>
            <w:r>
              <w:rPr>
                <w:sz w:val="24"/>
              </w:rPr>
              <w:t>September</w:t>
            </w:r>
            <w:r w:rsidR="00216669">
              <w:rPr>
                <w:sz w:val="24"/>
              </w:rPr>
              <w:t xml:space="preserve"> </w:t>
            </w:r>
            <w:r w:rsidR="00461006" w:rsidRPr="00461006">
              <w:rPr>
                <w:sz w:val="24"/>
              </w:rPr>
              <w:t>20</w:t>
            </w:r>
            <w:r w:rsidR="00216669">
              <w:rPr>
                <w:sz w:val="24"/>
              </w:rPr>
              <w:t>2</w:t>
            </w:r>
            <w:r w:rsidR="00DC6461">
              <w:rPr>
                <w:sz w:val="24"/>
              </w:rPr>
              <w:t>3</w:t>
            </w:r>
          </w:p>
        </w:tc>
      </w:tr>
      <w:tr w:rsidR="00461006" w14:paraId="3B35402A" w14:textId="77777777" w:rsidTr="004D58BA">
        <w:trPr>
          <w:trHeight w:val="281"/>
        </w:trPr>
        <w:tc>
          <w:tcPr>
            <w:tcW w:w="3005" w:type="dxa"/>
            <w:gridSpan w:val="3"/>
            <w:shd w:val="clear" w:color="auto" w:fill="FFFFFF" w:themeFill="background1"/>
          </w:tcPr>
          <w:p w14:paraId="339D389D" w14:textId="77777777" w:rsidR="00461006" w:rsidRPr="00461006" w:rsidRDefault="00461006" w:rsidP="004C5AD2">
            <w:pPr>
              <w:rPr>
                <w:sz w:val="24"/>
              </w:rPr>
            </w:pPr>
            <w:r w:rsidRPr="00461006">
              <w:rPr>
                <w:sz w:val="24"/>
              </w:rPr>
              <w:t>Mark Breakdown</w:t>
            </w:r>
          </w:p>
        </w:tc>
        <w:tc>
          <w:tcPr>
            <w:tcW w:w="6011" w:type="dxa"/>
            <w:gridSpan w:val="2"/>
            <w:shd w:val="clear" w:color="auto" w:fill="FFFFFF" w:themeFill="background1"/>
          </w:tcPr>
          <w:p w14:paraId="3191A35F" w14:textId="51F01ECF" w:rsidR="00461006" w:rsidRPr="00461006" w:rsidRDefault="003A2ED7" w:rsidP="004C5AD2">
            <w:pPr>
              <w:rPr>
                <w:sz w:val="24"/>
              </w:rPr>
            </w:pPr>
            <w:r>
              <w:rPr>
                <w:sz w:val="24"/>
              </w:rPr>
              <w:t>/</w:t>
            </w:r>
            <w:r w:rsidR="00CC6EF0">
              <w:rPr>
                <w:sz w:val="24"/>
              </w:rPr>
              <w:t>12</w:t>
            </w:r>
          </w:p>
        </w:tc>
      </w:tr>
      <w:tr w:rsidR="00461006" w14:paraId="0C5E9ADB" w14:textId="77777777" w:rsidTr="00DB25DD">
        <w:tblPrEx>
          <w:shd w:val="clear" w:color="auto" w:fill="auto"/>
        </w:tblPrEx>
        <w:tc>
          <w:tcPr>
            <w:tcW w:w="9016" w:type="dxa"/>
            <w:gridSpan w:val="5"/>
            <w:shd w:val="clear" w:color="auto" w:fill="FFFF00"/>
          </w:tcPr>
          <w:p w14:paraId="078DBBE0" w14:textId="77777777" w:rsidR="004D58BA" w:rsidRPr="004D58BA" w:rsidRDefault="004D58BA" w:rsidP="004D58BA">
            <w:pPr>
              <w:spacing w:after="0" w:line="240" w:lineRule="auto"/>
              <w:jc w:val="center"/>
              <w:rPr>
                <w:b/>
                <w:sz w:val="24"/>
              </w:rPr>
            </w:pPr>
            <w:r w:rsidRPr="004D58BA">
              <w:rPr>
                <w:b/>
                <w:sz w:val="24"/>
              </w:rPr>
              <w:t>AO1 1b, AO1 2a and AO1 2b</w:t>
            </w:r>
          </w:p>
          <w:p w14:paraId="636D2C35" w14:textId="77777777" w:rsidR="004D58BA" w:rsidRPr="004D58BA" w:rsidRDefault="004D58BA" w:rsidP="004D58BA">
            <w:pPr>
              <w:pStyle w:val="ListParagraph"/>
              <w:numPr>
                <w:ilvl w:val="0"/>
                <w:numId w:val="10"/>
              </w:numPr>
              <w:spacing w:after="0" w:line="240" w:lineRule="auto"/>
              <w:rPr>
                <w:b/>
                <w:sz w:val="24"/>
              </w:rPr>
            </w:pPr>
            <w:r w:rsidRPr="004D58BA">
              <w:rPr>
                <w:b/>
                <w:sz w:val="24"/>
              </w:rPr>
              <w:t>Demonstrate understanding of the theoretical framework of media (4 marks).</w:t>
            </w:r>
          </w:p>
          <w:p w14:paraId="6E45D10E" w14:textId="77777777" w:rsidR="004D58BA" w:rsidRPr="004D58BA" w:rsidRDefault="004D58BA" w:rsidP="004D58BA">
            <w:pPr>
              <w:pStyle w:val="ListParagraph"/>
              <w:numPr>
                <w:ilvl w:val="0"/>
                <w:numId w:val="10"/>
              </w:numPr>
              <w:spacing w:after="0" w:line="240" w:lineRule="auto"/>
              <w:rPr>
                <w:b/>
                <w:sz w:val="24"/>
              </w:rPr>
            </w:pPr>
            <w:r w:rsidRPr="004D58BA">
              <w:rPr>
                <w:b/>
                <w:sz w:val="24"/>
              </w:rPr>
              <w:t>Demonstrate knowledge of contexts of media and their influence on media</w:t>
            </w:r>
          </w:p>
          <w:p w14:paraId="07720432" w14:textId="77777777" w:rsidR="004D58BA" w:rsidRPr="004D58BA" w:rsidRDefault="004D58BA" w:rsidP="004D58BA">
            <w:pPr>
              <w:pStyle w:val="ListParagraph"/>
              <w:numPr>
                <w:ilvl w:val="0"/>
                <w:numId w:val="10"/>
              </w:numPr>
              <w:spacing w:after="0" w:line="240" w:lineRule="auto"/>
              <w:rPr>
                <w:b/>
                <w:sz w:val="24"/>
              </w:rPr>
            </w:pPr>
            <w:r w:rsidRPr="004D58BA">
              <w:rPr>
                <w:b/>
                <w:sz w:val="24"/>
              </w:rPr>
              <w:t>products and processes (4 marks).</w:t>
            </w:r>
          </w:p>
          <w:p w14:paraId="7960A9CA" w14:textId="2FD13999" w:rsidR="00DE6764" w:rsidRPr="004D58BA" w:rsidRDefault="004D58BA" w:rsidP="004D58BA">
            <w:pPr>
              <w:pStyle w:val="ListParagraph"/>
              <w:numPr>
                <w:ilvl w:val="0"/>
                <w:numId w:val="10"/>
              </w:numPr>
              <w:rPr>
                <w:b/>
                <w:sz w:val="24"/>
              </w:rPr>
            </w:pPr>
            <w:r w:rsidRPr="004D58BA">
              <w:rPr>
                <w:b/>
                <w:sz w:val="24"/>
              </w:rPr>
              <w:t>Demonstrate understanding of contexts of media and their influence on media</w:t>
            </w:r>
            <w:r w:rsidRPr="004D58BA">
              <w:rPr>
                <w:b/>
                <w:sz w:val="24"/>
              </w:rPr>
              <w:t xml:space="preserve"> </w:t>
            </w:r>
            <w:r w:rsidRPr="004D58BA">
              <w:rPr>
                <w:b/>
                <w:sz w:val="24"/>
              </w:rPr>
              <w:t>products and processes (4 marks).</w:t>
            </w:r>
          </w:p>
        </w:tc>
      </w:tr>
      <w:tr w:rsidR="00461006" w14:paraId="00F7FEE4" w14:textId="77777777" w:rsidTr="00085D44">
        <w:tblPrEx>
          <w:shd w:val="clear" w:color="auto" w:fill="auto"/>
        </w:tblPrEx>
        <w:tc>
          <w:tcPr>
            <w:tcW w:w="678" w:type="dxa"/>
          </w:tcPr>
          <w:p w14:paraId="24676966" w14:textId="77777777" w:rsidR="00461006" w:rsidRDefault="00461006" w:rsidP="00DB25DD">
            <w:r>
              <w:t>Level</w:t>
            </w:r>
          </w:p>
        </w:tc>
        <w:tc>
          <w:tcPr>
            <w:tcW w:w="770" w:type="dxa"/>
          </w:tcPr>
          <w:p w14:paraId="2E433D7B" w14:textId="77777777" w:rsidR="00461006" w:rsidRDefault="00461006" w:rsidP="00DB25DD">
            <w:r>
              <w:t>Range</w:t>
            </w:r>
          </w:p>
        </w:tc>
        <w:tc>
          <w:tcPr>
            <w:tcW w:w="7054" w:type="dxa"/>
            <w:gridSpan w:val="2"/>
          </w:tcPr>
          <w:p w14:paraId="649A5FD6" w14:textId="77777777" w:rsidR="00461006" w:rsidRDefault="00461006" w:rsidP="00DB25DD">
            <w:r>
              <w:t>Description</w:t>
            </w:r>
          </w:p>
        </w:tc>
        <w:tc>
          <w:tcPr>
            <w:tcW w:w="514" w:type="dxa"/>
          </w:tcPr>
          <w:p w14:paraId="115B91E0" w14:textId="77777777" w:rsidR="00461006" w:rsidRDefault="00461006" w:rsidP="00DB25DD"/>
        </w:tc>
      </w:tr>
      <w:tr w:rsidR="00461006" w14:paraId="750134EE" w14:textId="77777777" w:rsidTr="00085D44">
        <w:tblPrEx>
          <w:shd w:val="clear" w:color="auto" w:fill="auto"/>
        </w:tblPrEx>
        <w:tc>
          <w:tcPr>
            <w:tcW w:w="678" w:type="dxa"/>
          </w:tcPr>
          <w:p w14:paraId="56DBCFB0" w14:textId="45437FF7" w:rsidR="00461006" w:rsidRDefault="00243D57" w:rsidP="00DB25DD">
            <w:r>
              <w:t>4</w:t>
            </w:r>
          </w:p>
        </w:tc>
        <w:tc>
          <w:tcPr>
            <w:tcW w:w="770" w:type="dxa"/>
          </w:tcPr>
          <w:p w14:paraId="49BB89D9" w14:textId="3ED339DF" w:rsidR="00461006" w:rsidRDefault="00243D57" w:rsidP="003E61BD">
            <w:r>
              <w:t>10-12</w:t>
            </w:r>
          </w:p>
        </w:tc>
        <w:tc>
          <w:tcPr>
            <w:tcW w:w="7054" w:type="dxa"/>
            <w:gridSpan w:val="2"/>
          </w:tcPr>
          <w:p w14:paraId="46C48405" w14:textId="77777777" w:rsidR="004D58BA" w:rsidRDefault="004D58BA" w:rsidP="004D58BA">
            <w:pPr>
              <w:pStyle w:val="ListParagraph"/>
              <w:numPr>
                <w:ilvl w:val="0"/>
                <w:numId w:val="11"/>
              </w:numPr>
            </w:pPr>
            <w:r>
              <w:t xml:space="preserve">Excellent and accurate understanding of the theoretical framework that is demonstrated by consistently appropriate explanation of the representations of stereotypes in the products. </w:t>
            </w:r>
          </w:p>
          <w:p w14:paraId="13B4CCEA" w14:textId="77777777" w:rsidR="004D58BA" w:rsidRDefault="004D58BA" w:rsidP="004D58BA">
            <w:pPr>
              <w:pStyle w:val="ListParagraph"/>
              <w:numPr>
                <w:ilvl w:val="0"/>
                <w:numId w:val="11"/>
              </w:numPr>
            </w:pPr>
            <w:r>
              <w:t xml:space="preserve">Excellent knowledge and understanding of the influences of the social and historical contexts on media products that is consistently supported by highly appropriate and effective reference to the set products. </w:t>
            </w:r>
          </w:p>
          <w:p w14:paraId="2F806229" w14:textId="7C09815D" w:rsidR="00461006" w:rsidRPr="00471846" w:rsidRDefault="004D58BA" w:rsidP="004D58BA">
            <w:pPr>
              <w:pStyle w:val="ListParagraph"/>
              <w:numPr>
                <w:ilvl w:val="0"/>
                <w:numId w:val="11"/>
              </w:numPr>
            </w:pPr>
            <w:r>
              <w:t>Consistent highly appropriate use of subject specific terminology throughout</w:t>
            </w:r>
            <w:r w:rsidR="00085D44" w:rsidRPr="005E6920">
              <w:t>.</w:t>
            </w:r>
          </w:p>
        </w:tc>
        <w:tc>
          <w:tcPr>
            <w:tcW w:w="514" w:type="dxa"/>
          </w:tcPr>
          <w:p w14:paraId="6B429955" w14:textId="07C6BB1D" w:rsidR="00461006" w:rsidRDefault="00461006" w:rsidP="00DB25DD"/>
        </w:tc>
      </w:tr>
      <w:tr w:rsidR="00243D57" w14:paraId="729E6441" w14:textId="77777777" w:rsidTr="00085D44">
        <w:tblPrEx>
          <w:shd w:val="clear" w:color="auto" w:fill="auto"/>
        </w:tblPrEx>
        <w:tc>
          <w:tcPr>
            <w:tcW w:w="678" w:type="dxa"/>
          </w:tcPr>
          <w:p w14:paraId="4A5893C2" w14:textId="2416AFAC" w:rsidR="00243D57" w:rsidRDefault="00243D57" w:rsidP="00243D57">
            <w:r>
              <w:t>3</w:t>
            </w:r>
          </w:p>
        </w:tc>
        <w:tc>
          <w:tcPr>
            <w:tcW w:w="770" w:type="dxa"/>
          </w:tcPr>
          <w:p w14:paraId="432958B6" w14:textId="155E31C1" w:rsidR="00243D57" w:rsidRDefault="00243D57" w:rsidP="00243D57">
            <w:r>
              <w:t>7-9</w:t>
            </w:r>
          </w:p>
        </w:tc>
        <w:tc>
          <w:tcPr>
            <w:tcW w:w="7054" w:type="dxa"/>
            <w:gridSpan w:val="2"/>
          </w:tcPr>
          <w:p w14:paraId="353E80E7" w14:textId="77777777" w:rsidR="004D58BA" w:rsidRDefault="004D58BA" w:rsidP="004D58BA">
            <w:pPr>
              <w:pStyle w:val="ListParagraph"/>
              <w:numPr>
                <w:ilvl w:val="0"/>
                <w:numId w:val="12"/>
              </w:numPr>
            </w:pPr>
            <w:r>
              <w:t xml:space="preserve">Good understanding of the theoretical framework that is demonstrated via frequent appropriate explanation of the representations of stereotypes in the products. </w:t>
            </w:r>
          </w:p>
          <w:p w14:paraId="78516E68" w14:textId="77777777" w:rsidR="004D58BA" w:rsidRDefault="004D58BA" w:rsidP="004D58BA">
            <w:pPr>
              <w:pStyle w:val="ListParagraph"/>
              <w:numPr>
                <w:ilvl w:val="0"/>
                <w:numId w:val="12"/>
              </w:numPr>
            </w:pPr>
            <w:r>
              <w:t xml:space="preserve">Good knowledge and understanding of the influences of the social and historical contexts on media products that is usually supported by mostly appropriate and effective reference to the set products. </w:t>
            </w:r>
          </w:p>
          <w:p w14:paraId="544CB2C8" w14:textId="39E3EEEB" w:rsidR="00243D57" w:rsidRPr="00094B86" w:rsidRDefault="004D58BA" w:rsidP="004D58BA">
            <w:pPr>
              <w:pStyle w:val="ListParagraph"/>
              <w:numPr>
                <w:ilvl w:val="0"/>
                <w:numId w:val="12"/>
              </w:numPr>
            </w:pPr>
            <w:r>
              <w:t>Frequent appropriate use of subject specific terminology throughout.</w:t>
            </w:r>
          </w:p>
        </w:tc>
        <w:tc>
          <w:tcPr>
            <w:tcW w:w="514" w:type="dxa"/>
          </w:tcPr>
          <w:p w14:paraId="1D737D66" w14:textId="77777777" w:rsidR="00243D57" w:rsidRDefault="00243D57" w:rsidP="00243D57"/>
        </w:tc>
      </w:tr>
      <w:tr w:rsidR="00243D57" w14:paraId="3309BBD3" w14:textId="77777777" w:rsidTr="00085D44">
        <w:tblPrEx>
          <w:shd w:val="clear" w:color="auto" w:fill="auto"/>
        </w:tblPrEx>
        <w:tc>
          <w:tcPr>
            <w:tcW w:w="678" w:type="dxa"/>
          </w:tcPr>
          <w:p w14:paraId="5617639C" w14:textId="59A76B8A" w:rsidR="00243D57" w:rsidRDefault="00243D57" w:rsidP="00243D57">
            <w:r>
              <w:t>2</w:t>
            </w:r>
          </w:p>
        </w:tc>
        <w:tc>
          <w:tcPr>
            <w:tcW w:w="770" w:type="dxa"/>
          </w:tcPr>
          <w:p w14:paraId="5A55437E" w14:textId="06D57057" w:rsidR="00243D57" w:rsidRDefault="00243D57" w:rsidP="00243D57">
            <w:r>
              <w:t>4-6</w:t>
            </w:r>
          </w:p>
        </w:tc>
        <w:tc>
          <w:tcPr>
            <w:tcW w:w="7054" w:type="dxa"/>
            <w:gridSpan w:val="2"/>
          </w:tcPr>
          <w:p w14:paraId="19173368" w14:textId="77777777" w:rsidR="004D58BA" w:rsidRDefault="004D58BA" w:rsidP="004D58BA">
            <w:pPr>
              <w:pStyle w:val="ListParagraph"/>
              <w:numPr>
                <w:ilvl w:val="0"/>
                <w:numId w:val="13"/>
              </w:numPr>
            </w:pPr>
            <w:r>
              <w:t xml:space="preserve">Satisfactory understanding of the theoretical framework that is demonstrated by generally appropriate explanation of the representations of stereotypes in the products. </w:t>
            </w:r>
          </w:p>
          <w:p w14:paraId="0953372B" w14:textId="77777777" w:rsidR="004D58BA" w:rsidRDefault="004D58BA" w:rsidP="004D58BA">
            <w:pPr>
              <w:pStyle w:val="ListParagraph"/>
              <w:numPr>
                <w:ilvl w:val="0"/>
                <w:numId w:val="13"/>
              </w:numPr>
            </w:pPr>
            <w:r>
              <w:t xml:space="preserve">Some satisfactory knowledge and understanding of the influences of the social and historical contexts on media products that is sometimes supported by generally appropriate reference to the set products but inconsistently effective. </w:t>
            </w:r>
          </w:p>
          <w:p w14:paraId="140B213A" w14:textId="2A1BD8A7" w:rsidR="00243D57" w:rsidRPr="00085D44" w:rsidRDefault="004D58BA" w:rsidP="004D58BA">
            <w:pPr>
              <w:pStyle w:val="ListParagraph"/>
              <w:numPr>
                <w:ilvl w:val="0"/>
                <w:numId w:val="13"/>
              </w:numPr>
            </w:pPr>
            <w:r>
              <w:t>Generally appropriate use of subject specific terminology throughout.</w:t>
            </w:r>
          </w:p>
        </w:tc>
        <w:tc>
          <w:tcPr>
            <w:tcW w:w="514" w:type="dxa"/>
          </w:tcPr>
          <w:p w14:paraId="0A06697E" w14:textId="77777777" w:rsidR="00243D57" w:rsidRDefault="00243D57" w:rsidP="00243D57"/>
        </w:tc>
      </w:tr>
      <w:tr w:rsidR="00461006" w14:paraId="7A9F40C6" w14:textId="77777777" w:rsidTr="00085D44">
        <w:tblPrEx>
          <w:shd w:val="clear" w:color="auto" w:fill="auto"/>
        </w:tblPrEx>
        <w:tc>
          <w:tcPr>
            <w:tcW w:w="678" w:type="dxa"/>
          </w:tcPr>
          <w:p w14:paraId="41790647" w14:textId="77777777" w:rsidR="00461006" w:rsidRDefault="00461006" w:rsidP="00DB25DD">
            <w:r>
              <w:t>1</w:t>
            </w:r>
          </w:p>
        </w:tc>
        <w:tc>
          <w:tcPr>
            <w:tcW w:w="770" w:type="dxa"/>
          </w:tcPr>
          <w:p w14:paraId="5AF2A496" w14:textId="77777777" w:rsidR="00461006" w:rsidRDefault="00461006" w:rsidP="003E61BD">
            <w:r>
              <w:t>1-</w:t>
            </w:r>
            <w:r w:rsidR="003E61BD">
              <w:t>3</w:t>
            </w:r>
          </w:p>
        </w:tc>
        <w:tc>
          <w:tcPr>
            <w:tcW w:w="7054" w:type="dxa"/>
            <w:gridSpan w:val="2"/>
          </w:tcPr>
          <w:p w14:paraId="0AE9793A" w14:textId="77777777" w:rsidR="004D58BA" w:rsidRDefault="004D58BA" w:rsidP="004D58BA">
            <w:pPr>
              <w:pStyle w:val="ListParagraph"/>
              <w:numPr>
                <w:ilvl w:val="0"/>
                <w:numId w:val="14"/>
              </w:numPr>
            </w:pPr>
            <w:r>
              <w:t xml:space="preserve">Basic understanding of the theoretical framework that is demonstrated by occasional appropriate explanation of the representations of stereotypes in the products. </w:t>
            </w:r>
          </w:p>
          <w:p w14:paraId="550545CC" w14:textId="77777777" w:rsidR="004D58BA" w:rsidRDefault="004D58BA" w:rsidP="004D58BA">
            <w:pPr>
              <w:pStyle w:val="ListParagraph"/>
              <w:numPr>
                <w:ilvl w:val="0"/>
                <w:numId w:val="14"/>
              </w:numPr>
            </w:pPr>
            <w:r>
              <w:t xml:space="preserve">Basic knowledge and understanding of the influences of the social and historical contexts on media products that is generally unsupported by appropriate reference to the set products with limited effect. </w:t>
            </w:r>
          </w:p>
          <w:p w14:paraId="0B81B2B5" w14:textId="39DC5713" w:rsidR="00461006" w:rsidRDefault="004D58BA" w:rsidP="004D58BA">
            <w:pPr>
              <w:pStyle w:val="ListParagraph"/>
              <w:numPr>
                <w:ilvl w:val="0"/>
                <w:numId w:val="14"/>
              </w:numPr>
            </w:pPr>
            <w:r>
              <w:t>Occasional appropriate use of subject specific terminology throughout.</w:t>
            </w:r>
          </w:p>
        </w:tc>
        <w:tc>
          <w:tcPr>
            <w:tcW w:w="514" w:type="dxa"/>
          </w:tcPr>
          <w:p w14:paraId="09B18746" w14:textId="77777777" w:rsidR="00461006" w:rsidRDefault="00461006" w:rsidP="00DB25DD"/>
        </w:tc>
      </w:tr>
      <w:tr w:rsidR="00461006" w14:paraId="57B817E8" w14:textId="77777777" w:rsidTr="00085D44">
        <w:tblPrEx>
          <w:shd w:val="clear" w:color="auto" w:fill="auto"/>
        </w:tblPrEx>
        <w:tc>
          <w:tcPr>
            <w:tcW w:w="678" w:type="dxa"/>
          </w:tcPr>
          <w:p w14:paraId="4A84DC8C" w14:textId="77777777" w:rsidR="00461006" w:rsidRDefault="00461006" w:rsidP="00DB25DD">
            <w:r>
              <w:t>0</w:t>
            </w:r>
          </w:p>
        </w:tc>
        <w:tc>
          <w:tcPr>
            <w:tcW w:w="770" w:type="dxa"/>
          </w:tcPr>
          <w:p w14:paraId="660DC0FF" w14:textId="77777777" w:rsidR="00461006" w:rsidRDefault="00461006" w:rsidP="00DB25DD">
            <w:r>
              <w:t>0</w:t>
            </w:r>
          </w:p>
        </w:tc>
        <w:tc>
          <w:tcPr>
            <w:tcW w:w="7054" w:type="dxa"/>
            <w:gridSpan w:val="2"/>
          </w:tcPr>
          <w:p w14:paraId="38B1E42F" w14:textId="77777777" w:rsidR="00461006" w:rsidRDefault="00461006" w:rsidP="00DB25DD">
            <w:r>
              <w:t>Nothing worthy of credit</w:t>
            </w:r>
          </w:p>
        </w:tc>
        <w:tc>
          <w:tcPr>
            <w:tcW w:w="514" w:type="dxa"/>
          </w:tcPr>
          <w:p w14:paraId="1B8BA7FB" w14:textId="77777777" w:rsidR="00461006" w:rsidRDefault="00461006" w:rsidP="00DB25DD"/>
        </w:tc>
      </w:tr>
    </w:tbl>
    <w:p w14:paraId="4C7A034F" w14:textId="77777777" w:rsidR="00461006" w:rsidRDefault="00461006" w:rsidP="004C5A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1006" w:rsidRPr="003C6A8C" w14:paraId="17497535" w14:textId="77777777" w:rsidTr="001D487C">
        <w:trPr>
          <w:trHeight w:val="3004"/>
        </w:trPr>
        <w:tc>
          <w:tcPr>
            <w:tcW w:w="10682" w:type="dxa"/>
          </w:tcPr>
          <w:p w14:paraId="477EE071" w14:textId="69974074" w:rsidR="00085D44" w:rsidRDefault="00085D44" w:rsidP="00461006">
            <w:pPr>
              <w:spacing w:after="0" w:line="240" w:lineRule="auto"/>
              <w:rPr>
                <w:sz w:val="32"/>
              </w:rPr>
            </w:pPr>
            <w:r>
              <w:rPr>
                <w:sz w:val="32"/>
              </w:rPr>
              <w:lastRenderedPageBreak/>
              <w:t>General feedback:</w:t>
            </w:r>
          </w:p>
          <w:p w14:paraId="6A908B56" w14:textId="77777777" w:rsidR="00085D44" w:rsidRDefault="00085D44" w:rsidP="00461006">
            <w:pPr>
              <w:spacing w:after="0" w:line="240" w:lineRule="auto"/>
              <w:rPr>
                <w:sz w:val="32"/>
              </w:rPr>
            </w:pPr>
          </w:p>
          <w:p w14:paraId="1227FE55" w14:textId="77777777" w:rsidR="00BD17BD" w:rsidRDefault="00BD17BD" w:rsidP="00085D44">
            <w:pPr>
              <w:pStyle w:val="Default"/>
              <w:numPr>
                <w:ilvl w:val="0"/>
                <w:numId w:val="9"/>
              </w:numPr>
              <w:rPr>
                <w:sz w:val="22"/>
                <w:szCs w:val="28"/>
              </w:rPr>
            </w:pPr>
            <w:r>
              <w:rPr>
                <w:sz w:val="22"/>
                <w:szCs w:val="28"/>
              </w:rPr>
              <w:t>Keep your response close and clear towards the question / topic</w:t>
            </w:r>
          </w:p>
          <w:p w14:paraId="4FB418BB" w14:textId="7FE69387" w:rsidR="00085D44" w:rsidRDefault="00085D44" w:rsidP="00085D44">
            <w:pPr>
              <w:pStyle w:val="Default"/>
              <w:numPr>
                <w:ilvl w:val="0"/>
                <w:numId w:val="9"/>
              </w:numPr>
              <w:rPr>
                <w:sz w:val="22"/>
                <w:szCs w:val="28"/>
              </w:rPr>
            </w:pPr>
            <w:r w:rsidRPr="00085D44">
              <w:rPr>
                <w:sz w:val="22"/>
                <w:szCs w:val="28"/>
              </w:rPr>
              <w:t>Overall</w:t>
            </w:r>
            <w:r w:rsidR="00BD17BD">
              <w:rPr>
                <w:sz w:val="22"/>
                <w:szCs w:val="28"/>
              </w:rPr>
              <w:t>, try to think about key significant social and historical events that informed some of the representations that you are talking about.</w:t>
            </w:r>
          </w:p>
          <w:p w14:paraId="4BB6A431" w14:textId="2AA60854" w:rsidR="00BD17BD" w:rsidRDefault="00BD17BD" w:rsidP="00085D44">
            <w:pPr>
              <w:pStyle w:val="Default"/>
              <w:numPr>
                <w:ilvl w:val="0"/>
                <w:numId w:val="9"/>
              </w:numPr>
              <w:rPr>
                <w:sz w:val="22"/>
                <w:szCs w:val="28"/>
              </w:rPr>
            </w:pPr>
            <w:r>
              <w:rPr>
                <w:sz w:val="22"/>
                <w:szCs w:val="28"/>
              </w:rPr>
              <w:t>Include key dates, names, movements etc</w:t>
            </w:r>
          </w:p>
          <w:p w14:paraId="3E9A488C" w14:textId="42352177" w:rsidR="00104217" w:rsidRDefault="00104217" w:rsidP="00085D44">
            <w:pPr>
              <w:pStyle w:val="Default"/>
              <w:numPr>
                <w:ilvl w:val="0"/>
                <w:numId w:val="9"/>
              </w:numPr>
              <w:rPr>
                <w:sz w:val="22"/>
                <w:szCs w:val="28"/>
              </w:rPr>
            </w:pPr>
            <w:r>
              <w:rPr>
                <w:sz w:val="22"/>
                <w:szCs w:val="28"/>
              </w:rPr>
              <w:t>Include key words, terms, concepts</w:t>
            </w:r>
          </w:p>
          <w:p w14:paraId="6BD99C00" w14:textId="55D742E9" w:rsidR="00BD17BD" w:rsidRDefault="00BD17BD" w:rsidP="00085D44">
            <w:pPr>
              <w:pStyle w:val="Default"/>
              <w:numPr>
                <w:ilvl w:val="0"/>
                <w:numId w:val="9"/>
              </w:numPr>
              <w:rPr>
                <w:sz w:val="22"/>
                <w:szCs w:val="28"/>
              </w:rPr>
            </w:pPr>
            <w:r>
              <w:rPr>
                <w:sz w:val="22"/>
                <w:szCs w:val="28"/>
              </w:rPr>
              <w:t>Include some key theoretical positions around representation – David Gauntlett, Laura Mulvey, Stuart Hall etc.</w:t>
            </w:r>
          </w:p>
          <w:p w14:paraId="3E2ECE38" w14:textId="41D1FD8E" w:rsidR="00BD17BD" w:rsidRDefault="00BD17BD" w:rsidP="00085D44">
            <w:pPr>
              <w:pStyle w:val="Default"/>
              <w:numPr>
                <w:ilvl w:val="0"/>
                <w:numId w:val="9"/>
              </w:numPr>
              <w:rPr>
                <w:sz w:val="22"/>
                <w:szCs w:val="28"/>
              </w:rPr>
            </w:pPr>
            <w:r>
              <w:rPr>
                <w:sz w:val="22"/>
                <w:szCs w:val="28"/>
              </w:rPr>
              <w:t>Try to control the narrative of your essay – beg / middle / end; ‘Big Ideas’, contradictions, conflicts and resolutions etc etc</w:t>
            </w:r>
          </w:p>
          <w:p w14:paraId="6275FF88" w14:textId="19A8A433" w:rsidR="00085D44" w:rsidRDefault="00085D44" w:rsidP="00085D44">
            <w:pPr>
              <w:pStyle w:val="Default"/>
              <w:rPr>
                <w:sz w:val="22"/>
                <w:szCs w:val="28"/>
              </w:rPr>
            </w:pPr>
          </w:p>
          <w:p w14:paraId="75AFF36B" w14:textId="77777777" w:rsidR="00085D44" w:rsidRPr="00085D44" w:rsidRDefault="00085D44" w:rsidP="00085D44">
            <w:pPr>
              <w:pStyle w:val="Default"/>
              <w:rPr>
                <w:sz w:val="22"/>
                <w:szCs w:val="28"/>
              </w:rPr>
            </w:pPr>
          </w:p>
          <w:p w14:paraId="7FDDDA57" w14:textId="69752FB5" w:rsidR="00461006" w:rsidRPr="00461006" w:rsidRDefault="00461006" w:rsidP="00461006">
            <w:pPr>
              <w:spacing w:after="0" w:line="240" w:lineRule="auto"/>
              <w:rPr>
                <w:sz w:val="32"/>
              </w:rPr>
            </w:pPr>
            <w:r w:rsidRPr="00461006">
              <w:rPr>
                <w:sz w:val="32"/>
              </w:rPr>
              <w:t xml:space="preserve">To move to the next level you need to: </w:t>
            </w:r>
          </w:p>
          <w:p w14:paraId="1E7268E0" w14:textId="77777777" w:rsidR="005E6920" w:rsidRDefault="00AD3DB9" w:rsidP="005E6920">
            <w:pPr>
              <w:pStyle w:val="Default"/>
              <w:numPr>
                <w:ilvl w:val="0"/>
                <w:numId w:val="9"/>
              </w:numPr>
              <w:rPr>
                <w:sz w:val="22"/>
                <w:szCs w:val="28"/>
              </w:rPr>
            </w:pPr>
            <w:r>
              <w:rPr>
                <w:sz w:val="22"/>
                <w:szCs w:val="28"/>
              </w:rPr>
              <w:t xml:space="preserve"> </w:t>
            </w:r>
            <w:r w:rsidR="005E6920">
              <w:rPr>
                <w:sz w:val="22"/>
                <w:szCs w:val="28"/>
              </w:rPr>
              <w:t xml:space="preserve">Now you have produced this essay, just spend 20 minutes revisiting this topic ie </w:t>
            </w:r>
          </w:p>
          <w:p w14:paraId="262E1FE2" w14:textId="2A90FF3C" w:rsidR="005E6920" w:rsidRDefault="005E6920" w:rsidP="005E6920">
            <w:pPr>
              <w:pStyle w:val="Default"/>
              <w:numPr>
                <w:ilvl w:val="1"/>
                <w:numId w:val="9"/>
              </w:numPr>
              <w:rPr>
                <w:sz w:val="22"/>
                <w:szCs w:val="28"/>
              </w:rPr>
            </w:pPr>
            <w:r>
              <w:rPr>
                <w:sz w:val="22"/>
                <w:szCs w:val="28"/>
              </w:rPr>
              <w:t>Revisit your notes / or the narrative blog post site</w:t>
            </w:r>
            <w:r w:rsidR="00691A8E">
              <w:rPr>
                <w:sz w:val="22"/>
                <w:szCs w:val="28"/>
              </w:rPr>
              <w:t>:</w:t>
            </w:r>
            <w:r w:rsidR="001D17C4">
              <w:t xml:space="preserve"> </w:t>
            </w:r>
            <w:hyperlink r:id="rId7" w:history="1">
              <w:r w:rsidR="001D17C4" w:rsidRPr="00DF7D3E">
                <w:rPr>
                  <w:rStyle w:val="Hyperlink"/>
                  <w:sz w:val="22"/>
                  <w:szCs w:val="28"/>
                </w:rPr>
                <w:t>https://hautlieucreative.co.uk/media25al/2023/10/04/semiotics/</w:t>
              </w:r>
            </w:hyperlink>
            <w:r w:rsidR="001D17C4">
              <w:rPr>
                <w:sz w:val="22"/>
                <w:szCs w:val="28"/>
              </w:rPr>
              <w:t xml:space="preserve"> </w:t>
            </w:r>
            <w:r>
              <w:rPr>
                <w:sz w:val="22"/>
                <w:szCs w:val="28"/>
              </w:rPr>
              <w:t>to just reflect, evaluate, reconsider your initial ideas</w:t>
            </w:r>
          </w:p>
          <w:p w14:paraId="5289F804" w14:textId="77777777" w:rsidR="005E6920" w:rsidRDefault="005E6920" w:rsidP="005E6920">
            <w:pPr>
              <w:pStyle w:val="Default"/>
              <w:numPr>
                <w:ilvl w:val="1"/>
                <w:numId w:val="9"/>
              </w:numPr>
              <w:rPr>
                <w:sz w:val="22"/>
                <w:szCs w:val="28"/>
              </w:rPr>
            </w:pPr>
            <w:r>
              <w:rPr>
                <w:sz w:val="22"/>
                <w:szCs w:val="28"/>
              </w:rPr>
              <w:t>Look at other sites, books, articles, posts etc for any other information about narrative theory</w:t>
            </w:r>
          </w:p>
          <w:p w14:paraId="11FCA645" w14:textId="07D137B3" w:rsidR="005E6920" w:rsidRPr="00120082" w:rsidRDefault="005E6920" w:rsidP="005E6920">
            <w:pPr>
              <w:pStyle w:val="Default"/>
              <w:numPr>
                <w:ilvl w:val="0"/>
                <w:numId w:val="9"/>
              </w:numPr>
              <w:rPr>
                <w:sz w:val="22"/>
                <w:szCs w:val="28"/>
              </w:rPr>
            </w:pPr>
            <w:r>
              <w:rPr>
                <w:sz w:val="22"/>
                <w:szCs w:val="28"/>
              </w:rPr>
              <w:t xml:space="preserve">Apply this narrative theory to </w:t>
            </w:r>
            <w:r w:rsidR="00691A8E">
              <w:rPr>
                <w:sz w:val="22"/>
                <w:szCs w:val="28"/>
              </w:rPr>
              <w:t>other media</w:t>
            </w:r>
            <w:r>
              <w:rPr>
                <w:sz w:val="22"/>
                <w:szCs w:val="28"/>
              </w:rPr>
              <w:t xml:space="preserve"> production</w:t>
            </w:r>
            <w:r w:rsidR="00691A8E">
              <w:rPr>
                <w:sz w:val="22"/>
                <w:szCs w:val="28"/>
              </w:rPr>
              <w:t>s, such as the magazine / induction / summer work that you completed in the first three weeks of this course.</w:t>
            </w:r>
          </w:p>
          <w:p w14:paraId="7D0E4A57" w14:textId="24835F5D" w:rsidR="00AD3DB9" w:rsidRDefault="00AD3DB9" w:rsidP="005E6920">
            <w:pPr>
              <w:pStyle w:val="Default"/>
              <w:ind w:left="720"/>
              <w:rPr>
                <w:sz w:val="22"/>
                <w:szCs w:val="28"/>
              </w:rPr>
            </w:pPr>
          </w:p>
          <w:p w14:paraId="2846ECDC" w14:textId="77777777" w:rsidR="00A938EC" w:rsidRPr="00120082" w:rsidRDefault="00A938EC" w:rsidP="00210161">
            <w:pPr>
              <w:pStyle w:val="Default"/>
              <w:ind w:left="720"/>
              <w:rPr>
                <w:sz w:val="22"/>
                <w:szCs w:val="28"/>
              </w:rPr>
            </w:pPr>
          </w:p>
          <w:p w14:paraId="43F97423" w14:textId="77777777" w:rsidR="00461006" w:rsidRPr="00CF3884" w:rsidRDefault="00461006" w:rsidP="00DB25DD">
            <w:pPr>
              <w:pStyle w:val="Default"/>
              <w:rPr>
                <w:sz w:val="18"/>
                <w:szCs w:val="22"/>
              </w:rPr>
            </w:pPr>
          </w:p>
          <w:p w14:paraId="53E92FBE" w14:textId="77777777" w:rsidR="00461006" w:rsidRPr="00461006" w:rsidRDefault="00461006" w:rsidP="00461006">
            <w:pPr>
              <w:spacing w:after="0" w:line="240" w:lineRule="auto"/>
              <w:rPr>
                <w:sz w:val="32"/>
              </w:rPr>
            </w:pPr>
            <w:r w:rsidRPr="00461006">
              <w:rPr>
                <w:sz w:val="32"/>
              </w:rPr>
              <w:t>Student Reflection &amp; Actions:</w:t>
            </w:r>
          </w:p>
          <w:p w14:paraId="33D95B60" w14:textId="77777777" w:rsidR="00461006" w:rsidRDefault="00461006" w:rsidP="00DB25DD">
            <w:pPr>
              <w:pStyle w:val="Default"/>
              <w:rPr>
                <w:sz w:val="22"/>
                <w:szCs w:val="22"/>
              </w:rPr>
            </w:pPr>
          </w:p>
          <w:p w14:paraId="45B6F7B3" w14:textId="77777777" w:rsidR="00461006" w:rsidRPr="003C6A8C" w:rsidRDefault="00461006" w:rsidP="00DB25DD">
            <w:pPr>
              <w:pStyle w:val="Default"/>
              <w:rPr>
                <w:sz w:val="22"/>
                <w:szCs w:val="22"/>
              </w:rPr>
            </w:pPr>
          </w:p>
        </w:tc>
      </w:tr>
    </w:tbl>
    <w:p w14:paraId="78222A4C" w14:textId="77777777" w:rsidR="00461006" w:rsidRDefault="00461006" w:rsidP="004C5AD2"/>
    <w:p w14:paraId="51BDA0B7" w14:textId="77777777" w:rsidR="008A14D8" w:rsidRDefault="008A14D8" w:rsidP="004C5AD2"/>
    <w:p w14:paraId="72CB771A" w14:textId="77777777" w:rsidR="008A14D8" w:rsidRPr="00B5126E" w:rsidRDefault="008A14D8" w:rsidP="008A14D8">
      <w:pPr>
        <w:rPr>
          <w:rFonts w:asciiTheme="majorHAnsi" w:eastAsiaTheme="majorEastAsia" w:hAnsiTheme="majorHAnsi" w:cstheme="majorBidi"/>
          <w:b/>
          <w:sz w:val="26"/>
          <w:szCs w:val="26"/>
          <w:u w:val="single"/>
        </w:rPr>
      </w:pPr>
      <w:r w:rsidRPr="00B5126E">
        <w:rPr>
          <w:rFonts w:asciiTheme="majorHAnsi" w:eastAsiaTheme="majorEastAsia" w:hAnsiTheme="majorHAnsi" w:cstheme="majorBidi"/>
          <w:b/>
          <w:sz w:val="26"/>
          <w:szCs w:val="26"/>
          <w:u w:val="single"/>
        </w:rPr>
        <w:t xml:space="preserve">Indicative content: </w:t>
      </w:r>
    </w:p>
    <w:p w14:paraId="5964F494" w14:textId="77777777" w:rsidR="004D58BA" w:rsidRDefault="004D58BA" w:rsidP="00DE6764">
      <w:r>
        <w:t xml:space="preserve">This question assesses understanding of the theoretical framework of representation and knowledge and understanding of the contexts of media and their influence on media products and processes particularly focusing on (though not limited to): </w:t>
      </w:r>
    </w:p>
    <w:p w14:paraId="6DD95048" w14:textId="77777777" w:rsidR="004D58BA" w:rsidRDefault="004D58BA" w:rsidP="004D58BA">
      <w:pPr>
        <w:ind w:left="720"/>
      </w:pPr>
      <w:r>
        <w:t xml:space="preserve">• the effect of social and historical contexts on representations </w:t>
      </w:r>
    </w:p>
    <w:p w14:paraId="2974F057" w14:textId="77777777" w:rsidR="004D58BA" w:rsidRDefault="004D58BA" w:rsidP="004D58BA">
      <w:pPr>
        <w:ind w:left="720"/>
      </w:pPr>
      <w:r>
        <w:t xml:space="preserve">• how and why stereotypes can be used positively and negatively. </w:t>
      </w:r>
    </w:p>
    <w:p w14:paraId="56ECD550" w14:textId="56C0471C" w:rsidR="004D58BA" w:rsidRPr="004D58BA" w:rsidRDefault="004D58BA" w:rsidP="00DE6764">
      <w:pPr>
        <w:rPr>
          <w:b/>
          <w:bCs/>
        </w:rPr>
      </w:pPr>
      <w:r w:rsidRPr="004D58BA">
        <w:rPr>
          <w:b/>
          <w:bCs/>
        </w:rPr>
        <w:t xml:space="preserve">Social and Historical contexts: </w:t>
      </w:r>
    </w:p>
    <w:p w14:paraId="38836446" w14:textId="77777777" w:rsidR="004D58BA" w:rsidRDefault="004D58BA" w:rsidP="004D58BA">
      <w:pPr>
        <w:ind w:left="720"/>
      </w:pPr>
      <w:r>
        <w:t xml:space="preserve">• media products and the representations in them can be seen as a product of the social and historical context in which they are created </w:t>
      </w:r>
    </w:p>
    <w:p w14:paraId="657667DE" w14:textId="77777777" w:rsidR="004D58BA" w:rsidRDefault="004D58BA" w:rsidP="004D58BA">
      <w:pPr>
        <w:ind w:left="720"/>
      </w:pPr>
      <w:r>
        <w:t xml:space="preserve">• issues such as social and historical attitudes to gender may impact on the creation of products and the way in which representations of men and women are created and received </w:t>
      </w:r>
    </w:p>
    <w:p w14:paraId="40E32BBF" w14:textId="77777777" w:rsidR="004D58BA" w:rsidRDefault="004D58BA" w:rsidP="004D58BA">
      <w:pPr>
        <w:ind w:left="720"/>
      </w:pPr>
      <w:r>
        <w:t xml:space="preserve">• products must reflect the social values of their target audiences in order to be successful but these may be diverse and can explain the differences in representation </w:t>
      </w:r>
    </w:p>
    <w:p w14:paraId="5DA2ECFA" w14:textId="77777777" w:rsidR="004D58BA" w:rsidRDefault="004D58BA" w:rsidP="004D58BA">
      <w:pPr>
        <w:ind w:left="720"/>
      </w:pPr>
      <w:r>
        <w:lastRenderedPageBreak/>
        <w:t xml:space="preserve">• products may reflect particular social and historical standpoints from which to address their intended audiences and ‘the world’. </w:t>
      </w:r>
    </w:p>
    <w:p w14:paraId="563AD824" w14:textId="77777777" w:rsidR="004D58BA" w:rsidRPr="004D58BA" w:rsidRDefault="004D58BA" w:rsidP="00DE6764">
      <w:pPr>
        <w:rPr>
          <w:b/>
          <w:bCs/>
        </w:rPr>
      </w:pPr>
      <w:r w:rsidRPr="004D58BA">
        <w:rPr>
          <w:b/>
          <w:bCs/>
        </w:rPr>
        <w:t xml:space="preserve">In relation to the two products: </w:t>
      </w:r>
    </w:p>
    <w:p w14:paraId="770020E4" w14:textId="77777777" w:rsidR="004D58BA" w:rsidRDefault="004D58BA" w:rsidP="004D58BA">
      <w:pPr>
        <w:ind w:left="720"/>
      </w:pPr>
      <w:r>
        <w:t xml:space="preserve">• both products address issues of gender identity and contested issues of representation within the context of their respective form </w:t>
      </w:r>
    </w:p>
    <w:p w14:paraId="6CDD19D6" w14:textId="5E43D201" w:rsidR="006269B5" w:rsidRDefault="004D58BA" w:rsidP="004D58BA">
      <w:pPr>
        <w:ind w:left="720"/>
      </w:pPr>
      <w:r>
        <w:t>• these products both have meaning influenced by a significant historical context</w:t>
      </w:r>
      <w:r>
        <w:t xml:space="preserve"> </w:t>
      </w:r>
    </w:p>
    <w:p w14:paraId="4C9DFA17" w14:textId="77777777" w:rsidR="004D58BA" w:rsidRDefault="004D58BA" w:rsidP="004D58BA">
      <w:pPr>
        <w:ind w:left="720"/>
      </w:pPr>
      <w:r>
        <w:t xml:space="preserve">• they both ‘discuss’ the commodification of the female form from different positions </w:t>
      </w:r>
    </w:p>
    <w:p w14:paraId="2BCEEB3C" w14:textId="77777777" w:rsidR="004D58BA" w:rsidRDefault="004D58BA" w:rsidP="004D58BA">
      <w:pPr>
        <w:ind w:left="720"/>
      </w:pPr>
      <w:r>
        <w:t xml:space="preserve">• in both cases representation is a political act in a social and historical context. </w:t>
      </w:r>
    </w:p>
    <w:p w14:paraId="4952F8F2" w14:textId="77777777" w:rsidR="00515743" w:rsidRDefault="00515743" w:rsidP="00DE6764">
      <w:pPr>
        <w:rPr>
          <w:b/>
          <w:bCs/>
        </w:rPr>
      </w:pPr>
    </w:p>
    <w:p w14:paraId="293C9335" w14:textId="61490508" w:rsidR="004D58BA" w:rsidRPr="004D58BA" w:rsidRDefault="004D58BA" w:rsidP="00DE6764">
      <w:pPr>
        <w:rPr>
          <w:b/>
          <w:bCs/>
        </w:rPr>
      </w:pPr>
      <w:r w:rsidRPr="004D58BA">
        <w:rPr>
          <w:b/>
          <w:bCs/>
        </w:rPr>
        <w:t xml:space="preserve">The poster for Bananarama's WOW! </w:t>
      </w:r>
    </w:p>
    <w:p w14:paraId="48B20F9F" w14:textId="77777777" w:rsidR="004D58BA" w:rsidRDefault="004D58BA" w:rsidP="004D58BA">
      <w:pPr>
        <w:ind w:left="720"/>
      </w:pPr>
      <w:r>
        <w:t xml:space="preserve">• The representation here is provocative and challenging: stereotypes are addressed by contestation. </w:t>
      </w:r>
    </w:p>
    <w:p w14:paraId="24197934" w14:textId="77777777" w:rsidR="004D58BA" w:rsidRDefault="004D58BA" w:rsidP="004D58BA">
      <w:pPr>
        <w:ind w:left="720"/>
      </w:pPr>
      <w:r>
        <w:t xml:space="preserve">• The product uses conventional elements of both the form and representation (layout, composition, indexical indicators of femininity [lipstick, exposed flesh], even the choice of typefaces) but to challenge rather than to confirm. </w:t>
      </w:r>
    </w:p>
    <w:p w14:paraId="6D7E01D0" w14:textId="77777777" w:rsidR="004D58BA" w:rsidRDefault="004D58BA" w:rsidP="004D58BA">
      <w:pPr>
        <w:ind w:left="720"/>
      </w:pPr>
      <w:r>
        <w:t xml:space="preserve">• All of the comfort usually provided by generic convention is denied: the three band members elbow their way into the frame with their ‘toyboy’, semi-naked human, beefcake mannequins seemingly tucked under their arms. </w:t>
      </w:r>
    </w:p>
    <w:p w14:paraId="43FF0176" w14:textId="77777777" w:rsidR="004D58BA" w:rsidRDefault="004D58BA" w:rsidP="004D58BA">
      <w:pPr>
        <w:ind w:left="720"/>
      </w:pPr>
      <w:r>
        <w:t xml:space="preserve">• Their control is complete because they are not controlled: they are making a point about the representation of women not of men, refreshingly the focus is on the women. </w:t>
      </w:r>
    </w:p>
    <w:p w14:paraId="5B3FF6E7" w14:textId="77777777" w:rsidR="004D58BA" w:rsidRDefault="004D58BA" w:rsidP="004D58BA">
      <w:pPr>
        <w:ind w:left="720"/>
      </w:pPr>
      <w:r>
        <w:t xml:space="preserve">• The anchor ‘WOW!’ is beautifully ironic. Signalling the surprise/shock of the switched stereotypical roles, with the men in the poster represented as the props/dressing. This is simply and skilfully projected. </w:t>
      </w:r>
    </w:p>
    <w:p w14:paraId="1FF3D127" w14:textId="77777777" w:rsidR="00515743" w:rsidRDefault="00515743" w:rsidP="00DE6764">
      <w:pPr>
        <w:rPr>
          <w:b/>
          <w:bCs/>
        </w:rPr>
      </w:pPr>
    </w:p>
    <w:p w14:paraId="61EB935E" w14:textId="0F252B1E" w:rsidR="004D58BA" w:rsidRPr="004D58BA" w:rsidRDefault="004D58BA" w:rsidP="00DE6764">
      <w:pPr>
        <w:rPr>
          <w:b/>
          <w:bCs/>
        </w:rPr>
      </w:pPr>
      <w:r w:rsidRPr="004D58BA">
        <w:rPr>
          <w:b/>
          <w:bCs/>
        </w:rPr>
        <w:t xml:space="preserve">Score Hair Cream </w:t>
      </w:r>
    </w:p>
    <w:p w14:paraId="6E4C1592" w14:textId="77777777" w:rsidR="004D58BA" w:rsidRDefault="004D58BA" w:rsidP="004D58BA">
      <w:pPr>
        <w:ind w:left="720"/>
      </w:pPr>
      <w:r>
        <w:t xml:space="preserve">• This text was chosen for its jaded sexist almost bravado (feeble manifestations of both patriarchy and colonialism). </w:t>
      </w:r>
    </w:p>
    <w:p w14:paraId="126E4CD5" w14:textId="77777777" w:rsidR="004D58BA" w:rsidRDefault="004D58BA" w:rsidP="004D58BA">
      <w:pPr>
        <w:ind w:left="720"/>
      </w:pPr>
      <w:r>
        <w:t xml:space="preserve">• Of course this is isn’t the only reading and could be seen as simplistic and ‘tongue-in-cheek’: the jungle is clearly a constructed set and the Big Game Hunter/colonial adventurer a cartoon character). </w:t>
      </w:r>
    </w:p>
    <w:p w14:paraId="7516A3FA" w14:textId="77777777" w:rsidR="004D58BA" w:rsidRDefault="004D58BA" w:rsidP="004D58BA">
      <w:pPr>
        <w:ind w:left="720"/>
      </w:pPr>
      <w:r>
        <w:t xml:space="preserve">• Though this simplification might be its greatest weapon since it makes the past a harmless cartoon and hard to get hold of (Barthes said myth was an alibi which always has an elsewhere at its disposal: his semiology was to be a study of how stereotypes are made). </w:t>
      </w:r>
    </w:p>
    <w:p w14:paraId="33564333" w14:textId="0F5CC5A2" w:rsidR="004D58BA" w:rsidRDefault="004D58BA" w:rsidP="004D58BA">
      <w:pPr>
        <w:ind w:left="720"/>
      </w:pPr>
      <w:r>
        <w:t xml:space="preserve">• References to these stereotypes are delivered through costume and props with the ‘hero’ carried shoulder high but not as a ‘trophy’ (the trophies are below). </w:t>
      </w:r>
    </w:p>
    <w:p w14:paraId="398F0BEE" w14:textId="77777777" w:rsidR="004D58BA" w:rsidRDefault="004D58BA" w:rsidP="004D58BA">
      <w:pPr>
        <w:ind w:left="720"/>
      </w:pPr>
      <w:r>
        <w:t xml:space="preserve">• There is an unconvincing sexual power also here anchored by the copy: “If you’re not getting what you want from your hair cream”: costumes ‘display’ these relationships. </w:t>
      </w:r>
    </w:p>
    <w:p w14:paraId="31461808" w14:textId="77777777" w:rsidR="004D58BA" w:rsidRDefault="004D58BA" w:rsidP="004D58BA">
      <w:pPr>
        <w:ind w:left="720"/>
      </w:pPr>
      <w:r>
        <w:lastRenderedPageBreak/>
        <w:t xml:space="preserve">• All of this frames the most significant (historical, social and cultural) story: a snapshot of historical values (colonialism) in the teeth of the social and cultural revolution of the 1960s: it has never been other than (partly) ironic. </w:t>
      </w:r>
    </w:p>
    <w:p w14:paraId="6ADC5F68" w14:textId="3FC986D3" w:rsidR="004D58BA" w:rsidRPr="0045250B" w:rsidRDefault="004D58BA" w:rsidP="004D58BA">
      <w:pPr>
        <w:ind w:left="720"/>
      </w:pPr>
      <w:r>
        <w:t>• The advert is socially/historically relevant in terms of the conversation it now engenders between the context of its production (1967) and of its current reception (2022).</w:t>
      </w:r>
    </w:p>
    <w:sectPr w:rsidR="004D58BA" w:rsidRPr="004525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845F" w14:textId="77777777" w:rsidR="001749AF" w:rsidRDefault="001749AF" w:rsidP="009552B8">
      <w:pPr>
        <w:spacing w:after="0" w:line="240" w:lineRule="auto"/>
      </w:pPr>
      <w:r>
        <w:separator/>
      </w:r>
    </w:p>
  </w:endnote>
  <w:endnote w:type="continuationSeparator" w:id="0">
    <w:p w14:paraId="7F150837" w14:textId="77777777" w:rsidR="001749AF" w:rsidRDefault="001749AF" w:rsidP="0095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ADF7" w14:textId="77777777" w:rsidR="001749AF" w:rsidRDefault="001749AF" w:rsidP="009552B8">
      <w:pPr>
        <w:spacing w:after="0" w:line="240" w:lineRule="auto"/>
      </w:pPr>
      <w:r>
        <w:separator/>
      </w:r>
    </w:p>
  </w:footnote>
  <w:footnote w:type="continuationSeparator" w:id="0">
    <w:p w14:paraId="799294C7" w14:textId="77777777" w:rsidR="001749AF" w:rsidRDefault="001749AF" w:rsidP="00955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EB76" w14:textId="77777777" w:rsidR="00DB25DD" w:rsidRDefault="00DB2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19EB"/>
    <w:multiLevelType w:val="hybridMultilevel"/>
    <w:tmpl w:val="061CB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A672C0"/>
    <w:multiLevelType w:val="hybridMultilevel"/>
    <w:tmpl w:val="11CC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D7A82"/>
    <w:multiLevelType w:val="hybridMultilevel"/>
    <w:tmpl w:val="0C6A9B2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066C4D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E4EEE"/>
    <w:multiLevelType w:val="hybridMultilevel"/>
    <w:tmpl w:val="94E2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114B7"/>
    <w:multiLevelType w:val="hybridMultilevel"/>
    <w:tmpl w:val="A6BE6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D522AD"/>
    <w:multiLevelType w:val="hybridMultilevel"/>
    <w:tmpl w:val="0952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14440"/>
    <w:multiLevelType w:val="hybridMultilevel"/>
    <w:tmpl w:val="180840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62DB1"/>
    <w:multiLevelType w:val="hybridMultilevel"/>
    <w:tmpl w:val="3FA4E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69547BE"/>
    <w:multiLevelType w:val="hybridMultilevel"/>
    <w:tmpl w:val="F0CEC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E70DA6"/>
    <w:multiLevelType w:val="hybridMultilevel"/>
    <w:tmpl w:val="93C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22FF0"/>
    <w:multiLevelType w:val="hybridMultilevel"/>
    <w:tmpl w:val="692E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5134A"/>
    <w:multiLevelType w:val="hybridMultilevel"/>
    <w:tmpl w:val="68AE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B47410"/>
    <w:multiLevelType w:val="hybridMultilevel"/>
    <w:tmpl w:val="C608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5D1F73"/>
    <w:multiLevelType w:val="hybridMultilevel"/>
    <w:tmpl w:val="4AD4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750856">
    <w:abstractNumId w:val="5"/>
  </w:num>
  <w:num w:numId="2" w16cid:durableId="1092167026">
    <w:abstractNumId w:val="11"/>
  </w:num>
  <w:num w:numId="3" w16cid:durableId="61296312">
    <w:abstractNumId w:val="3"/>
  </w:num>
  <w:num w:numId="4" w16cid:durableId="594632200">
    <w:abstractNumId w:val="12"/>
  </w:num>
  <w:num w:numId="5" w16cid:durableId="1681392971">
    <w:abstractNumId w:val="10"/>
  </w:num>
  <w:num w:numId="6" w16cid:durableId="960233977">
    <w:abstractNumId w:val="9"/>
  </w:num>
  <w:num w:numId="7" w16cid:durableId="1598753449">
    <w:abstractNumId w:val="1"/>
  </w:num>
  <w:num w:numId="8" w16cid:durableId="2016229196">
    <w:abstractNumId w:val="6"/>
  </w:num>
  <w:num w:numId="9" w16cid:durableId="658000605">
    <w:abstractNumId w:val="2"/>
  </w:num>
  <w:num w:numId="10" w16cid:durableId="1906791896">
    <w:abstractNumId w:val="13"/>
  </w:num>
  <w:num w:numId="11" w16cid:durableId="813760559">
    <w:abstractNumId w:val="4"/>
  </w:num>
  <w:num w:numId="12" w16cid:durableId="2045785323">
    <w:abstractNumId w:val="7"/>
  </w:num>
  <w:num w:numId="13" w16cid:durableId="1583949766">
    <w:abstractNumId w:val="0"/>
  </w:num>
  <w:num w:numId="14" w16cid:durableId="15162691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A83"/>
    <w:rsid w:val="000145B8"/>
    <w:rsid w:val="000352FC"/>
    <w:rsid w:val="00060194"/>
    <w:rsid w:val="000833A5"/>
    <w:rsid w:val="00085D44"/>
    <w:rsid w:val="00094B86"/>
    <w:rsid w:val="000B3BB3"/>
    <w:rsid w:val="000B5898"/>
    <w:rsid w:val="000C18E6"/>
    <w:rsid w:val="00104217"/>
    <w:rsid w:val="00120082"/>
    <w:rsid w:val="00150F6D"/>
    <w:rsid w:val="00153539"/>
    <w:rsid w:val="001749AF"/>
    <w:rsid w:val="00181742"/>
    <w:rsid w:val="001B3AC0"/>
    <w:rsid w:val="001B551F"/>
    <w:rsid w:val="001C78A7"/>
    <w:rsid w:val="001D17C4"/>
    <w:rsid w:val="001D487C"/>
    <w:rsid w:val="001E44CA"/>
    <w:rsid w:val="00210161"/>
    <w:rsid w:val="00216669"/>
    <w:rsid w:val="00226AD7"/>
    <w:rsid w:val="00243D57"/>
    <w:rsid w:val="00252ACD"/>
    <w:rsid w:val="002550FA"/>
    <w:rsid w:val="00271AD2"/>
    <w:rsid w:val="002B288F"/>
    <w:rsid w:val="002C2188"/>
    <w:rsid w:val="002C47C1"/>
    <w:rsid w:val="002F6DC4"/>
    <w:rsid w:val="00394A83"/>
    <w:rsid w:val="003A2ED7"/>
    <w:rsid w:val="003E61BD"/>
    <w:rsid w:val="00410B4D"/>
    <w:rsid w:val="00436CE2"/>
    <w:rsid w:val="0045250B"/>
    <w:rsid w:val="00461006"/>
    <w:rsid w:val="00471846"/>
    <w:rsid w:val="004934A8"/>
    <w:rsid w:val="004C5AD2"/>
    <w:rsid w:val="004D58BA"/>
    <w:rsid w:val="00515743"/>
    <w:rsid w:val="00515E3C"/>
    <w:rsid w:val="0056253A"/>
    <w:rsid w:val="00571CEE"/>
    <w:rsid w:val="005A1E39"/>
    <w:rsid w:val="005A7C9D"/>
    <w:rsid w:val="005E6920"/>
    <w:rsid w:val="006269B5"/>
    <w:rsid w:val="006678E9"/>
    <w:rsid w:val="00691A8E"/>
    <w:rsid w:val="006A33A5"/>
    <w:rsid w:val="006B3A8C"/>
    <w:rsid w:val="006E74B3"/>
    <w:rsid w:val="007C3CF6"/>
    <w:rsid w:val="00813CE6"/>
    <w:rsid w:val="00843054"/>
    <w:rsid w:val="00865F62"/>
    <w:rsid w:val="00877CAE"/>
    <w:rsid w:val="00883EEA"/>
    <w:rsid w:val="008A14D8"/>
    <w:rsid w:val="008B5DBF"/>
    <w:rsid w:val="008C108E"/>
    <w:rsid w:val="008E0572"/>
    <w:rsid w:val="009552B8"/>
    <w:rsid w:val="00956ED7"/>
    <w:rsid w:val="00960935"/>
    <w:rsid w:val="00982489"/>
    <w:rsid w:val="009A48B2"/>
    <w:rsid w:val="009B3664"/>
    <w:rsid w:val="009E7FDA"/>
    <w:rsid w:val="00A10650"/>
    <w:rsid w:val="00A440AB"/>
    <w:rsid w:val="00A446A7"/>
    <w:rsid w:val="00A938EC"/>
    <w:rsid w:val="00AA6468"/>
    <w:rsid w:val="00AD3DB9"/>
    <w:rsid w:val="00AF45E1"/>
    <w:rsid w:val="00B02E39"/>
    <w:rsid w:val="00B451EA"/>
    <w:rsid w:val="00B5126E"/>
    <w:rsid w:val="00B57CD4"/>
    <w:rsid w:val="00B74628"/>
    <w:rsid w:val="00BB630C"/>
    <w:rsid w:val="00BD17BD"/>
    <w:rsid w:val="00BF5E36"/>
    <w:rsid w:val="00BF6A3E"/>
    <w:rsid w:val="00C0218C"/>
    <w:rsid w:val="00C457FB"/>
    <w:rsid w:val="00C55601"/>
    <w:rsid w:val="00C868B4"/>
    <w:rsid w:val="00C96691"/>
    <w:rsid w:val="00CC6765"/>
    <w:rsid w:val="00CC6EF0"/>
    <w:rsid w:val="00CD42F6"/>
    <w:rsid w:val="00CF3884"/>
    <w:rsid w:val="00D300E1"/>
    <w:rsid w:val="00D4313A"/>
    <w:rsid w:val="00D708AF"/>
    <w:rsid w:val="00D85F37"/>
    <w:rsid w:val="00DB25DD"/>
    <w:rsid w:val="00DB2D84"/>
    <w:rsid w:val="00DC5CE1"/>
    <w:rsid w:val="00DC6461"/>
    <w:rsid w:val="00DE6764"/>
    <w:rsid w:val="00DF77C0"/>
    <w:rsid w:val="00E301D5"/>
    <w:rsid w:val="00E37E9C"/>
    <w:rsid w:val="00E5305F"/>
    <w:rsid w:val="00E6793C"/>
    <w:rsid w:val="00E76B27"/>
    <w:rsid w:val="00E87D95"/>
    <w:rsid w:val="00E959F8"/>
    <w:rsid w:val="00EB1D8C"/>
    <w:rsid w:val="00EE3028"/>
    <w:rsid w:val="00F43E2F"/>
    <w:rsid w:val="00F60A37"/>
    <w:rsid w:val="00F84E78"/>
    <w:rsid w:val="00FA5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52BA"/>
  <w15:docId w15:val="{DA1D80F4-71C1-436A-A8DE-E50A0FED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A1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A83"/>
    <w:pPr>
      <w:ind w:left="720"/>
      <w:contextualSpacing/>
    </w:pPr>
  </w:style>
  <w:style w:type="paragraph" w:customStyle="1" w:styleId="Default">
    <w:name w:val="Default"/>
    <w:rsid w:val="00394A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552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2B8"/>
  </w:style>
  <w:style w:type="paragraph" w:styleId="Footer">
    <w:name w:val="footer"/>
    <w:basedOn w:val="Normal"/>
    <w:link w:val="FooterChar"/>
    <w:uiPriority w:val="99"/>
    <w:unhideWhenUsed/>
    <w:rsid w:val="009552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2B8"/>
  </w:style>
  <w:style w:type="character" w:customStyle="1" w:styleId="Heading2Char">
    <w:name w:val="Heading 2 Char"/>
    <w:basedOn w:val="DefaultParagraphFont"/>
    <w:link w:val="Heading2"/>
    <w:uiPriority w:val="9"/>
    <w:rsid w:val="008A14D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91A8E"/>
    <w:rPr>
      <w:color w:val="0563C1" w:themeColor="hyperlink"/>
      <w:u w:val="single"/>
    </w:rPr>
  </w:style>
  <w:style w:type="character" w:styleId="UnresolvedMention">
    <w:name w:val="Unresolved Mention"/>
    <w:basedOn w:val="DefaultParagraphFont"/>
    <w:uiPriority w:val="99"/>
    <w:semiHidden/>
    <w:unhideWhenUsed/>
    <w:rsid w:val="00691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autlieucreative.co.uk/media25al/2023/10/04/semio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Mckinlay</dc:creator>
  <cp:keywords/>
  <dc:description/>
  <cp:lastModifiedBy>Michael Mckinlay</cp:lastModifiedBy>
  <cp:revision>7</cp:revision>
  <dcterms:created xsi:type="dcterms:W3CDTF">2023-10-13T08:24:00Z</dcterms:created>
  <dcterms:modified xsi:type="dcterms:W3CDTF">2023-10-13T10:38:00Z</dcterms:modified>
</cp:coreProperties>
</file>