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rsidTr="00461006">
        <w:trPr>
          <w:trHeight w:val="780"/>
        </w:trPr>
        <w:tc>
          <w:tcPr>
            <w:tcW w:w="9017" w:type="dxa"/>
            <w:gridSpan w:val="2"/>
            <w:tcBorders>
              <w:bottom w:val="single" w:sz="4" w:space="0" w:color="auto"/>
            </w:tcBorders>
            <w:shd w:val="pct20" w:color="auto" w:fill="auto"/>
          </w:tcPr>
          <w:p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rsidR="00461006" w:rsidRDefault="00461006" w:rsidP="00461006">
            <w:pPr>
              <w:jc w:val="center"/>
            </w:pPr>
            <w:r>
              <w:rPr>
                <w:b/>
                <w:bCs/>
                <w:sz w:val="32"/>
                <w:szCs w:val="32"/>
              </w:rPr>
              <w:t>Assessment Feedback Sheet</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Student Name</w:t>
            </w:r>
          </w:p>
        </w:tc>
        <w:tc>
          <w:tcPr>
            <w:tcW w:w="6012" w:type="dxa"/>
            <w:shd w:val="clear" w:color="auto" w:fill="FFFFFF" w:themeFill="background1"/>
          </w:tcPr>
          <w:p w:rsidR="00461006" w:rsidRPr="00461006" w:rsidRDefault="00461006" w:rsidP="004C5AD2">
            <w:pPr>
              <w:rPr>
                <w:sz w:val="24"/>
              </w:rPr>
            </w:pPr>
          </w:p>
        </w:tc>
      </w:tr>
      <w:tr w:rsidR="00461006" w:rsidTr="00461006">
        <w:trPr>
          <w:trHeight w:val="265"/>
        </w:trPr>
        <w:tc>
          <w:tcPr>
            <w:tcW w:w="3005" w:type="dxa"/>
            <w:shd w:val="clear" w:color="auto" w:fill="FFFFFF" w:themeFill="background1"/>
          </w:tcPr>
          <w:p w:rsidR="00461006" w:rsidRPr="00461006" w:rsidRDefault="00461006" w:rsidP="004C5AD2">
            <w:pPr>
              <w:rPr>
                <w:sz w:val="24"/>
              </w:rPr>
            </w:pPr>
            <w:r w:rsidRPr="00461006">
              <w:rPr>
                <w:sz w:val="24"/>
              </w:rPr>
              <w:t>Assessment</w:t>
            </w:r>
          </w:p>
        </w:tc>
        <w:tc>
          <w:tcPr>
            <w:tcW w:w="6012" w:type="dxa"/>
            <w:shd w:val="clear" w:color="auto" w:fill="FFFFFF" w:themeFill="background1"/>
          </w:tcPr>
          <w:p w:rsidR="00461006" w:rsidRPr="00461006" w:rsidRDefault="003C2AA5" w:rsidP="004C5AD2">
            <w:pPr>
              <w:rPr>
                <w:sz w:val="24"/>
              </w:rPr>
            </w:pPr>
            <w:r>
              <w:rPr>
                <w:sz w:val="24"/>
              </w:rPr>
              <w:t xml:space="preserve">Media Language, </w:t>
            </w:r>
            <w:r w:rsidR="003E61BD">
              <w:rPr>
                <w:sz w:val="24"/>
              </w:rPr>
              <w:t xml:space="preserve">Representation and Reception </w:t>
            </w:r>
            <w:r>
              <w:rPr>
                <w:sz w:val="24"/>
              </w:rPr>
              <w:t>Essay</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Date</w:t>
            </w:r>
          </w:p>
        </w:tc>
        <w:tc>
          <w:tcPr>
            <w:tcW w:w="6012" w:type="dxa"/>
            <w:shd w:val="clear" w:color="auto" w:fill="FFFFFF" w:themeFill="background1"/>
          </w:tcPr>
          <w:p w:rsidR="00461006" w:rsidRPr="00461006" w:rsidRDefault="003C2AA5" w:rsidP="004C5AD2">
            <w:pPr>
              <w:rPr>
                <w:sz w:val="24"/>
              </w:rPr>
            </w:pPr>
            <w:r>
              <w:rPr>
                <w:sz w:val="24"/>
              </w:rPr>
              <w:t>November</w:t>
            </w:r>
            <w:r w:rsidR="00461006" w:rsidRPr="00461006">
              <w:rPr>
                <w:sz w:val="24"/>
              </w:rPr>
              <w:t xml:space="preserve"> 201</w:t>
            </w:r>
            <w:r>
              <w:rPr>
                <w:sz w:val="24"/>
              </w:rPr>
              <w:t>9</w:t>
            </w:r>
          </w:p>
        </w:tc>
      </w:tr>
      <w:tr w:rsidR="00461006" w:rsidTr="00461006">
        <w:trPr>
          <w:trHeight w:val="281"/>
        </w:trPr>
        <w:tc>
          <w:tcPr>
            <w:tcW w:w="3005" w:type="dxa"/>
            <w:shd w:val="clear" w:color="auto" w:fill="FFFFFF" w:themeFill="background1"/>
          </w:tcPr>
          <w:p w:rsidR="00461006" w:rsidRPr="00461006" w:rsidRDefault="00461006" w:rsidP="004C5AD2">
            <w:pPr>
              <w:rPr>
                <w:sz w:val="24"/>
              </w:rPr>
            </w:pPr>
            <w:r w:rsidRPr="00461006">
              <w:rPr>
                <w:sz w:val="24"/>
              </w:rPr>
              <w:t>Mark Breakdown</w:t>
            </w:r>
          </w:p>
        </w:tc>
        <w:tc>
          <w:tcPr>
            <w:tcW w:w="6012" w:type="dxa"/>
            <w:shd w:val="clear" w:color="auto" w:fill="FFFFFF" w:themeFill="background1"/>
          </w:tcPr>
          <w:p w:rsidR="00461006" w:rsidRPr="00461006" w:rsidRDefault="003C2AA5" w:rsidP="004C5AD2">
            <w:pPr>
              <w:rPr>
                <w:sz w:val="24"/>
              </w:rPr>
            </w:pPr>
            <w:r>
              <w:rPr>
                <w:sz w:val="24"/>
              </w:rPr>
              <w:t xml:space="preserve">   /20</w:t>
            </w:r>
          </w:p>
        </w:tc>
      </w:tr>
    </w:tbl>
    <w:p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rsidTr="003B7634">
        <w:tc>
          <w:tcPr>
            <w:tcW w:w="9016" w:type="dxa"/>
            <w:gridSpan w:val="4"/>
            <w:shd w:val="clear" w:color="auto" w:fill="FFFF00"/>
          </w:tcPr>
          <w:p w:rsidR="00461006" w:rsidRPr="00410B4D" w:rsidRDefault="00461006" w:rsidP="003B7634">
            <w:pPr>
              <w:jc w:val="center"/>
              <w:rPr>
                <w:b/>
                <w:sz w:val="24"/>
              </w:rPr>
            </w:pPr>
            <w:r w:rsidRPr="00843054">
              <w:rPr>
                <w:b/>
                <w:sz w:val="24"/>
              </w:rPr>
              <w:t>Assessment Objectives – AO2 1 and AO2 2</w:t>
            </w:r>
          </w:p>
          <w:p w:rsidR="00461006" w:rsidRPr="00843054" w:rsidRDefault="00461006" w:rsidP="003B7634">
            <w:pPr>
              <w:pStyle w:val="ListParagraph"/>
              <w:numPr>
                <w:ilvl w:val="0"/>
                <w:numId w:val="1"/>
              </w:numPr>
              <w:rPr>
                <w:b/>
              </w:rPr>
            </w:pPr>
            <w:r w:rsidRPr="00843054">
              <w:rPr>
                <w:b/>
              </w:rPr>
              <w:t>Apply knowledge and understanding of the theoretical framework of media to analyse media products through the use</w:t>
            </w:r>
            <w:r w:rsidR="003E61BD">
              <w:rPr>
                <w:b/>
              </w:rPr>
              <w:t xml:space="preserve"> of academic theories </w:t>
            </w:r>
          </w:p>
          <w:p w:rsidR="00461006" w:rsidRPr="00410B4D" w:rsidRDefault="00461006" w:rsidP="003B7634">
            <w:pPr>
              <w:pStyle w:val="ListParagraph"/>
              <w:numPr>
                <w:ilvl w:val="0"/>
                <w:numId w:val="1"/>
              </w:numPr>
              <w:rPr>
                <w:b/>
              </w:rPr>
            </w:pPr>
            <w:r w:rsidRPr="00843054">
              <w:rPr>
                <w:b/>
              </w:rPr>
              <w:t>Make judgements</w:t>
            </w:r>
            <w:r w:rsidR="003E61BD">
              <w:rPr>
                <w:b/>
              </w:rPr>
              <w:t xml:space="preserve"> and draw conclusions </w:t>
            </w:r>
          </w:p>
        </w:tc>
      </w:tr>
      <w:tr w:rsidR="00461006" w:rsidTr="00C26267">
        <w:tc>
          <w:tcPr>
            <w:tcW w:w="678" w:type="dxa"/>
          </w:tcPr>
          <w:p w:rsidR="00461006" w:rsidRDefault="00461006" w:rsidP="003B7634">
            <w:r>
              <w:t>Level</w:t>
            </w:r>
          </w:p>
        </w:tc>
        <w:tc>
          <w:tcPr>
            <w:tcW w:w="770" w:type="dxa"/>
          </w:tcPr>
          <w:p w:rsidR="00461006" w:rsidRDefault="00461006" w:rsidP="003B7634">
            <w:r>
              <w:t>Range</w:t>
            </w:r>
          </w:p>
        </w:tc>
        <w:tc>
          <w:tcPr>
            <w:tcW w:w="7054" w:type="dxa"/>
          </w:tcPr>
          <w:p w:rsidR="00461006" w:rsidRDefault="00461006" w:rsidP="003B7634">
            <w:r>
              <w:t>Description</w:t>
            </w:r>
          </w:p>
        </w:tc>
        <w:tc>
          <w:tcPr>
            <w:tcW w:w="514" w:type="dxa"/>
          </w:tcPr>
          <w:p w:rsidR="00461006" w:rsidRDefault="00461006" w:rsidP="003B7634"/>
        </w:tc>
      </w:tr>
      <w:tr w:rsidR="00461006" w:rsidTr="00C26267">
        <w:tc>
          <w:tcPr>
            <w:tcW w:w="678" w:type="dxa"/>
          </w:tcPr>
          <w:p w:rsidR="00461006" w:rsidRDefault="00461006" w:rsidP="003B7634">
            <w:r>
              <w:t>4</w:t>
            </w:r>
          </w:p>
        </w:tc>
        <w:tc>
          <w:tcPr>
            <w:tcW w:w="770" w:type="dxa"/>
          </w:tcPr>
          <w:p w:rsidR="00461006" w:rsidRDefault="00C26267" w:rsidP="003E61BD">
            <w:r>
              <w:t>16</w:t>
            </w:r>
            <w:r w:rsidR="00461006">
              <w:t>-</w:t>
            </w:r>
            <w:r>
              <w:t>20</w:t>
            </w:r>
          </w:p>
        </w:tc>
        <w:tc>
          <w:tcPr>
            <w:tcW w:w="7054" w:type="dxa"/>
          </w:tcPr>
          <w:p w:rsidR="00C26267" w:rsidRDefault="00C26267" w:rsidP="003B7634">
            <w:r>
              <w:t xml:space="preserve">• Excellent and judicious application of knowledge and understanding of the theoretical framework of media to analyse the products. The analysis is detailed and critically engages with the nuanced aspects of the representations of gender in the magazine cover and video game. </w:t>
            </w:r>
          </w:p>
          <w:p w:rsidR="00C26267" w:rsidRDefault="00C26267" w:rsidP="003B7634">
            <w:r>
              <w:t xml:space="preserve">• Excellent, astute judgements and conclusions both in relation to the products </w:t>
            </w:r>
            <w:proofErr w:type="gramStart"/>
            <w:r>
              <w:t>and also</w:t>
            </w:r>
            <w:proofErr w:type="gramEnd"/>
            <w:r>
              <w:t xml:space="preserve"> the contexts in which they were created that are consistently well supported by relevant examples. </w:t>
            </w:r>
          </w:p>
          <w:p w:rsidR="00461006" w:rsidRDefault="00C26267" w:rsidP="003B7634">
            <w:bookmarkStart w:id="0" w:name="_GoBack"/>
            <w:bookmarkEnd w:id="0"/>
            <w:r>
              <w:t>• Consistently appropriate and effective use of subject specific terminology throughout.</w:t>
            </w:r>
          </w:p>
        </w:tc>
        <w:tc>
          <w:tcPr>
            <w:tcW w:w="514" w:type="dxa"/>
          </w:tcPr>
          <w:p w:rsidR="00461006" w:rsidRDefault="00461006" w:rsidP="003B7634"/>
        </w:tc>
      </w:tr>
      <w:tr w:rsidR="00461006" w:rsidTr="00C26267">
        <w:tc>
          <w:tcPr>
            <w:tcW w:w="678" w:type="dxa"/>
          </w:tcPr>
          <w:p w:rsidR="00461006" w:rsidRDefault="00461006" w:rsidP="003B7634">
            <w:r>
              <w:t>3</w:t>
            </w:r>
          </w:p>
        </w:tc>
        <w:tc>
          <w:tcPr>
            <w:tcW w:w="770" w:type="dxa"/>
          </w:tcPr>
          <w:p w:rsidR="00461006" w:rsidRDefault="003C2AA5" w:rsidP="003E61BD">
            <w:r>
              <w:t>11</w:t>
            </w:r>
            <w:r w:rsidR="00461006">
              <w:t>-</w:t>
            </w:r>
            <w:r>
              <w:t>15</w:t>
            </w:r>
          </w:p>
        </w:tc>
        <w:tc>
          <w:tcPr>
            <w:tcW w:w="7054" w:type="dxa"/>
          </w:tcPr>
          <w:p w:rsidR="00C26267" w:rsidRDefault="00C26267" w:rsidP="003B7634">
            <w:r>
              <w:t xml:space="preserve">• Good, accurate application of knowledge and understanding of the theoretical framework of media to analyse the products. The analysis sometimes engages with the nuanced aspects of the representations of gender in the magazine cover and video game. </w:t>
            </w:r>
          </w:p>
          <w:p w:rsidR="00C26267" w:rsidRDefault="00C26267" w:rsidP="003B7634">
            <w:r>
              <w:t xml:space="preserve">• Good judgements and conclusions both in relation to the products </w:t>
            </w:r>
            <w:proofErr w:type="gramStart"/>
            <w:r>
              <w:t>and also</w:t>
            </w:r>
            <w:proofErr w:type="gramEnd"/>
            <w:r>
              <w:t xml:space="preserve"> the contexts in which they were created that are frequently supported by relevant examples. </w:t>
            </w:r>
          </w:p>
          <w:p w:rsidR="00461006" w:rsidRDefault="00C26267" w:rsidP="003B7634">
            <w:r>
              <w:t>• Mostly appropriate and effective use of subject specific terminology</w:t>
            </w:r>
          </w:p>
        </w:tc>
        <w:tc>
          <w:tcPr>
            <w:tcW w:w="514" w:type="dxa"/>
          </w:tcPr>
          <w:p w:rsidR="00461006" w:rsidRDefault="00461006" w:rsidP="003B7634"/>
        </w:tc>
      </w:tr>
      <w:tr w:rsidR="00461006" w:rsidTr="00C26267">
        <w:tc>
          <w:tcPr>
            <w:tcW w:w="678" w:type="dxa"/>
          </w:tcPr>
          <w:p w:rsidR="00461006" w:rsidRDefault="00461006" w:rsidP="003B7634">
            <w:r>
              <w:t>2</w:t>
            </w:r>
          </w:p>
        </w:tc>
        <w:tc>
          <w:tcPr>
            <w:tcW w:w="770" w:type="dxa"/>
          </w:tcPr>
          <w:p w:rsidR="00461006" w:rsidRDefault="003C2AA5" w:rsidP="003E61BD">
            <w:r>
              <w:t>6</w:t>
            </w:r>
            <w:r w:rsidR="00461006">
              <w:t>-</w:t>
            </w:r>
            <w:r>
              <w:t>10</w:t>
            </w:r>
          </w:p>
        </w:tc>
        <w:tc>
          <w:tcPr>
            <w:tcW w:w="7054" w:type="dxa"/>
          </w:tcPr>
          <w:p w:rsidR="00C26267" w:rsidRDefault="00C26267" w:rsidP="003B7634">
            <w:r>
              <w:t xml:space="preserve">• Some satisfactory application of knowledge and understanding of the theoretical framework of media analyse the products though this is likely to be undeveloped and may, in places, be more descriptive than analytical. The analysis engages with generally obvious or straightforward aspects of the representations of gender in the magazine cover and video game. </w:t>
            </w:r>
          </w:p>
          <w:p w:rsidR="00C26267" w:rsidRDefault="00C26267" w:rsidP="003B7634">
            <w:r>
              <w:t xml:space="preserve">• Satisfactory judgements and conclusions both in relation to the products </w:t>
            </w:r>
            <w:proofErr w:type="gramStart"/>
            <w:r>
              <w:t>and also</w:t>
            </w:r>
            <w:proofErr w:type="gramEnd"/>
            <w:r>
              <w:t xml:space="preserve"> the contexts in which they were created that are sometimes supported by examples. At this level, students may only focus on either the products or the contexts. </w:t>
            </w:r>
          </w:p>
          <w:p w:rsidR="00461006" w:rsidRDefault="00C26267" w:rsidP="003B7634">
            <w:r>
              <w:t>• Occasional appropriate use of subject specific terminology.</w:t>
            </w:r>
          </w:p>
        </w:tc>
        <w:tc>
          <w:tcPr>
            <w:tcW w:w="514" w:type="dxa"/>
          </w:tcPr>
          <w:p w:rsidR="00461006" w:rsidRDefault="00461006" w:rsidP="003B7634"/>
        </w:tc>
      </w:tr>
      <w:tr w:rsidR="00461006" w:rsidTr="00C26267">
        <w:tc>
          <w:tcPr>
            <w:tcW w:w="678" w:type="dxa"/>
          </w:tcPr>
          <w:p w:rsidR="00461006" w:rsidRDefault="00461006" w:rsidP="003B7634">
            <w:r>
              <w:t>1</w:t>
            </w:r>
          </w:p>
        </w:tc>
        <w:tc>
          <w:tcPr>
            <w:tcW w:w="770" w:type="dxa"/>
          </w:tcPr>
          <w:p w:rsidR="00461006" w:rsidRDefault="00461006" w:rsidP="003E61BD">
            <w:r>
              <w:t>1-</w:t>
            </w:r>
            <w:r w:rsidR="003C2AA5">
              <w:t>5</w:t>
            </w:r>
          </w:p>
        </w:tc>
        <w:tc>
          <w:tcPr>
            <w:tcW w:w="7054" w:type="dxa"/>
          </w:tcPr>
          <w:p w:rsidR="00C26267" w:rsidRDefault="00C26267" w:rsidP="00C26267">
            <w:r>
              <w:t xml:space="preserve">• Basic, if any, application of knowledge and understanding of the theoretical framework of media that is likely to be generalised and unfocused. The analysis that engages with very straightforward aspects of the representations of gender in the magazine cover and video </w:t>
            </w:r>
            <w:proofErr w:type="gramStart"/>
            <w:r>
              <w:t>game, and</w:t>
            </w:r>
            <w:proofErr w:type="gramEnd"/>
            <w:r>
              <w:t xml:space="preserve"> is more descriptive than analytical. </w:t>
            </w:r>
          </w:p>
          <w:p w:rsidR="00C26267" w:rsidRDefault="00C26267" w:rsidP="00C26267">
            <w:r>
              <w:t xml:space="preserve">• Basic judgements and conclusions both in relation to the products </w:t>
            </w:r>
            <w:proofErr w:type="gramStart"/>
            <w:r>
              <w:t>and also</w:t>
            </w:r>
            <w:proofErr w:type="gramEnd"/>
            <w:r>
              <w:t xml:space="preserve"> the contexts in which they were created that are generally unsupported </w:t>
            </w:r>
            <w:r>
              <w:lastRenderedPageBreak/>
              <w:t xml:space="preserve">by examples. At this level, responses will be undeveloped and are likely to only consider one product and/or one context. </w:t>
            </w:r>
          </w:p>
          <w:p w:rsidR="00461006" w:rsidRDefault="00C26267" w:rsidP="00C26267">
            <w:r>
              <w:t>• Very little, if any, appropriate use of subject specific terminology</w:t>
            </w:r>
          </w:p>
        </w:tc>
        <w:tc>
          <w:tcPr>
            <w:tcW w:w="514" w:type="dxa"/>
          </w:tcPr>
          <w:p w:rsidR="00461006" w:rsidRDefault="00461006" w:rsidP="003B7634"/>
        </w:tc>
      </w:tr>
      <w:tr w:rsidR="00461006" w:rsidTr="00C26267">
        <w:tc>
          <w:tcPr>
            <w:tcW w:w="678" w:type="dxa"/>
          </w:tcPr>
          <w:p w:rsidR="00461006" w:rsidRDefault="00461006" w:rsidP="003B7634">
            <w:r>
              <w:t>0</w:t>
            </w:r>
          </w:p>
        </w:tc>
        <w:tc>
          <w:tcPr>
            <w:tcW w:w="770" w:type="dxa"/>
          </w:tcPr>
          <w:p w:rsidR="00461006" w:rsidRDefault="00461006" w:rsidP="003B7634">
            <w:r>
              <w:t>0</w:t>
            </w:r>
          </w:p>
        </w:tc>
        <w:tc>
          <w:tcPr>
            <w:tcW w:w="7054" w:type="dxa"/>
          </w:tcPr>
          <w:p w:rsidR="00461006" w:rsidRDefault="00461006" w:rsidP="003B7634">
            <w:r>
              <w:t>Nothing worthy of credit</w:t>
            </w:r>
          </w:p>
        </w:tc>
        <w:tc>
          <w:tcPr>
            <w:tcW w:w="514" w:type="dxa"/>
          </w:tcPr>
          <w:p w:rsidR="00461006" w:rsidRDefault="00461006" w:rsidP="003B7634"/>
        </w:tc>
      </w:tr>
    </w:tbl>
    <w:p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rsidTr="003B7634">
        <w:trPr>
          <w:trHeight w:val="4105"/>
        </w:trPr>
        <w:tc>
          <w:tcPr>
            <w:tcW w:w="10682" w:type="dxa"/>
          </w:tcPr>
          <w:p w:rsidR="00461006" w:rsidRPr="00461006" w:rsidRDefault="00461006" w:rsidP="00461006">
            <w:pPr>
              <w:spacing w:after="0" w:line="240" w:lineRule="auto"/>
              <w:rPr>
                <w:sz w:val="32"/>
              </w:rPr>
            </w:pPr>
            <w:r w:rsidRPr="00461006">
              <w:rPr>
                <w:sz w:val="32"/>
              </w:rPr>
              <w:t xml:space="preserve">To move to the next level you need to: </w:t>
            </w:r>
          </w:p>
          <w:p w:rsidR="00461006" w:rsidRDefault="00461006" w:rsidP="003B7634">
            <w:pPr>
              <w:pStyle w:val="Default"/>
              <w:rPr>
                <w:sz w:val="28"/>
                <w:szCs w:val="28"/>
              </w:rPr>
            </w:pPr>
          </w:p>
          <w:p w:rsidR="00461006" w:rsidRDefault="00461006" w:rsidP="003B7634">
            <w:pPr>
              <w:pStyle w:val="Default"/>
              <w:rPr>
                <w:sz w:val="28"/>
                <w:szCs w:val="28"/>
              </w:rPr>
            </w:pPr>
          </w:p>
          <w:p w:rsidR="00461006" w:rsidRPr="004C5BFB" w:rsidRDefault="00461006" w:rsidP="003B7634">
            <w:pPr>
              <w:pStyle w:val="Default"/>
              <w:rPr>
                <w:sz w:val="22"/>
                <w:szCs w:val="22"/>
              </w:rPr>
            </w:pPr>
          </w:p>
          <w:p w:rsidR="00461006" w:rsidRPr="003C6A8C" w:rsidRDefault="00461006" w:rsidP="003B7634">
            <w:pPr>
              <w:pStyle w:val="Default"/>
              <w:rPr>
                <w:sz w:val="36"/>
                <w:szCs w:val="36"/>
              </w:rPr>
            </w:pPr>
          </w:p>
          <w:p w:rsidR="00461006" w:rsidRPr="00461006" w:rsidRDefault="00461006" w:rsidP="00461006">
            <w:pPr>
              <w:spacing w:after="0" w:line="240" w:lineRule="auto"/>
              <w:rPr>
                <w:sz w:val="32"/>
              </w:rPr>
            </w:pPr>
            <w:r w:rsidRPr="00461006">
              <w:rPr>
                <w:sz w:val="32"/>
              </w:rPr>
              <w:t>Student Reflection &amp; Actions:</w:t>
            </w:r>
          </w:p>
          <w:p w:rsidR="00461006" w:rsidRDefault="00461006" w:rsidP="003B7634">
            <w:pPr>
              <w:pStyle w:val="Default"/>
              <w:rPr>
                <w:i/>
                <w:sz w:val="36"/>
                <w:szCs w:val="36"/>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Default="00461006" w:rsidP="003B7634">
            <w:pPr>
              <w:pStyle w:val="Default"/>
              <w:rPr>
                <w:sz w:val="22"/>
                <w:szCs w:val="22"/>
              </w:rPr>
            </w:pPr>
          </w:p>
          <w:p w:rsidR="00461006" w:rsidRPr="003C6A8C" w:rsidRDefault="00461006" w:rsidP="003B7634">
            <w:pPr>
              <w:pStyle w:val="Default"/>
              <w:rPr>
                <w:sz w:val="22"/>
                <w:szCs w:val="22"/>
              </w:rPr>
            </w:pPr>
          </w:p>
        </w:tc>
      </w:tr>
    </w:tbl>
    <w:p w:rsidR="00461006" w:rsidRPr="0045250B" w:rsidRDefault="00461006" w:rsidP="004C5AD2"/>
    <w:sectPr w:rsidR="00461006" w:rsidRPr="004525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F63" w:rsidRDefault="00950F63" w:rsidP="009552B8">
      <w:pPr>
        <w:spacing w:after="0" w:line="240" w:lineRule="auto"/>
      </w:pPr>
      <w:r>
        <w:separator/>
      </w:r>
    </w:p>
  </w:endnote>
  <w:endnote w:type="continuationSeparator" w:id="0">
    <w:p w:rsidR="00950F63" w:rsidRDefault="00950F63"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F63" w:rsidRDefault="00950F63" w:rsidP="009552B8">
      <w:pPr>
        <w:spacing w:after="0" w:line="240" w:lineRule="auto"/>
      </w:pPr>
      <w:r>
        <w:separator/>
      </w:r>
    </w:p>
  </w:footnote>
  <w:footnote w:type="continuationSeparator" w:id="0">
    <w:p w:rsidR="00950F63" w:rsidRDefault="00950F63"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53539"/>
    <w:rsid w:val="001B551F"/>
    <w:rsid w:val="001C78A7"/>
    <w:rsid w:val="00226AD7"/>
    <w:rsid w:val="00252ACD"/>
    <w:rsid w:val="002C47C1"/>
    <w:rsid w:val="00394A83"/>
    <w:rsid w:val="003C2AA5"/>
    <w:rsid w:val="003E61BD"/>
    <w:rsid w:val="00410B4D"/>
    <w:rsid w:val="0045250B"/>
    <w:rsid w:val="00461006"/>
    <w:rsid w:val="004C5AD2"/>
    <w:rsid w:val="005A1E39"/>
    <w:rsid w:val="006E74B3"/>
    <w:rsid w:val="007C3CF6"/>
    <w:rsid w:val="00813CE6"/>
    <w:rsid w:val="00843054"/>
    <w:rsid w:val="00883EEA"/>
    <w:rsid w:val="008B5DBF"/>
    <w:rsid w:val="00950F63"/>
    <w:rsid w:val="009552B8"/>
    <w:rsid w:val="009A48B2"/>
    <w:rsid w:val="00B02E39"/>
    <w:rsid w:val="00B451EA"/>
    <w:rsid w:val="00B57CD4"/>
    <w:rsid w:val="00C26267"/>
    <w:rsid w:val="00D85F37"/>
    <w:rsid w:val="00DC5CE1"/>
    <w:rsid w:val="00EB1D8C"/>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491E"/>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4</cp:revision>
  <dcterms:created xsi:type="dcterms:W3CDTF">2018-10-19T11:34:00Z</dcterms:created>
  <dcterms:modified xsi:type="dcterms:W3CDTF">2019-10-22T12:01:00Z</dcterms:modified>
</cp:coreProperties>
</file>